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footer3.xml" ContentType="application/vnd.openxmlformats-officedocument.wordprocessingml.footer+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rPr>
          <w:rFonts w:eastAsia="Times New Roman" w:cs="Calibri" w:cstheme="minorHAnsi"/>
          <w:lang w:eastAsia="el-GR"/>
        </w:rPr>
      </w:pPr>
      <w:r>
        <w:rPr/>
        <mc:AlternateContent>
          <mc:Choice Requires="wps">
            <w:drawing>
              <wp:anchor behindDoc="0" distT="0" distB="0" distL="0" distR="0" simplePos="0" locked="0" layoutInCell="1" allowOverlap="1" relativeHeight="2" wp14:anchorId="263672D1">
                <wp:simplePos x="0" y="0"/>
                <wp:positionH relativeFrom="column">
                  <wp:posOffset>0</wp:posOffset>
                </wp:positionH>
                <wp:positionV relativeFrom="paragraph">
                  <wp:posOffset>635</wp:posOffset>
                </wp:positionV>
                <wp:extent cx="635000" cy="635000"/>
                <wp:effectExtent l="0" t="0" r="0" b="0"/>
                <wp:wrapNone/>
                <wp:docPr id="1" name="_x0000_tole_rId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_x0000_tole_rId2" path="m0,0l-2147483645,0l-2147483645,-2147483646l0,-2147483646xe" stroked="f" o:allowincell="f" style="position:absolute;margin-left:0pt;margin-top:0.05pt;width:49.95pt;height:49.95pt;mso-wrap-style:none;v-text-anchor:middle" wp14:anchorId="263672D1">
                <v:fill o:detectmouseclick="t" on="false"/>
                <v:stroke color="#3465a4" joinstyle="round" endcap="flat"/>
                <w10:wrap type="none"/>
              </v:rect>
            </w:pict>
          </mc:Fallback>
        </mc:AlternateContent>
        <w:object w:dxaOrig="2700" w:dyaOrig="270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25pt;height:42.75pt;mso-wrap-distance-right:0pt" filled="t" fillcolor="#FFFFFF" o:ole="">
            <v:imagedata r:id="rId3" o:title=""/>
          </v:shape>
          <o:OLEObject Type="Embed" ProgID="PBrush" ShapeID="ole_rId2" DrawAspect="Content" ObjectID="_1757054174" r:id="rId2"/>
        </w:object>
      </w:r>
    </w:p>
    <w:tbl>
      <w:tblPr>
        <w:tblpPr w:vertAnchor="text" w:horzAnchor="margin" w:bottomFromText="200" w:leftFromText="180" w:rightFromText="180" w:tblpX="0" w:tblpY="46"/>
        <w:tblW w:w="1032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0320"/>
      </w:tblGrid>
      <w:tr>
        <w:trPr>
          <w:trHeight w:val="289" w:hRule="atLeast"/>
        </w:trPr>
        <w:tc>
          <w:tcPr>
            <w:tcW w:w="10320" w:type="dxa"/>
            <w:tcBorders/>
            <w:vAlign w:val="bottom"/>
          </w:tcPr>
          <w:p>
            <w:pPr>
              <w:pStyle w:val="Normal"/>
              <w:widowControl w:val="false"/>
              <w:tabs>
                <w:tab w:val="clear" w:pos="720"/>
                <w:tab w:val="left" w:pos="1857" w:leader="none"/>
              </w:tabs>
              <w:spacing w:lineRule="auto" w:line="240" w:before="0" w:after="0"/>
              <w:rPr>
                <w:rFonts w:eastAsia="Times New Roman" w:cs="Calibri" w:cstheme="minorHAnsi"/>
                <w:b/>
                <w:bCs/>
              </w:rPr>
            </w:pPr>
            <w:r>
              <w:rPr>
                <w:rFonts w:eastAsia="Times New Roman" w:cs="Calibri" w:cstheme="minorHAnsi"/>
                <w:b/>
                <w:bCs/>
              </w:rPr>
              <w:t>ΕΛΛΗΝΙΚΗ ΔΗΜΟΚΡΑΤΙΑ</w:t>
            </w:r>
          </w:p>
        </w:tc>
      </w:tr>
      <w:tr>
        <w:trPr>
          <w:trHeight w:val="145" w:hRule="atLeast"/>
        </w:trPr>
        <w:tc>
          <w:tcPr>
            <w:tcW w:w="10320" w:type="dxa"/>
            <w:tcBorders/>
            <w:vAlign w:val="bottom"/>
          </w:tcPr>
          <w:p>
            <w:pPr>
              <w:pStyle w:val="Normal"/>
              <w:widowControl w:val="false"/>
              <w:tabs>
                <w:tab w:val="clear" w:pos="720"/>
                <w:tab w:val="left" w:pos="1857" w:leader="none"/>
              </w:tabs>
              <w:spacing w:lineRule="auto" w:line="240" w:before="0" w:after="0"/>
              <w:rPr>
                <w:rFonts w:eastAsia="Times New Roman" w:cs="Calibri" w:cstheme="minorHAnsi"/>
                <w:b/>
                <w:bCs/>
                <w:lang w:val="en-US"/>
              </w:rPr>
            </w:pPr>
            <w:r>
              <w:rPr>
                <w:rFonts w:eastAsia="Times New Roman" w:cs="Calibri" w:cstheme="minorHAnsi"/>
                <w:b/>
                <w:bCs/>
                <w:lang w:val="en-US"/>
              </w:rPr>
            </w:r>
          </w:p>
        </w:tc>
      </w:tr>
      <w:tr>
        <w:trPr>
          <w:trHeight w:val="289" w:hRule="atLeast"/>
        </w:trPr>
        <w:tc>
          <w:tcPr>
            <w:tcW w:w="10320" w:type="dxa"/>
            <w:tcBorders/>
            <w:vAlign w:val="bottom"/>
          </w:tcPr>
          <w:p>
            <w:pPr>
              <w:pStyle w:val="Normal"/>
              <w:widowControl w:val="false"/>
              <w:tabs>
                <w:tab w:val="clear" w:pos="720"/>
                <w:tab w:val="left" w:pos="1857" w:leader="none"/>
              </w:tabs>
              <w:spacing w:lineRule="auto" w:line="240" w:before="0" w:after="0"/>
              <w:rPr>
                <w:rFonts w:eastAsia="Times New Roman" w:cs="Calibri" w:cstheme="minorHAnsi"/>
                <w:b/>
                <w:bCs/>
              </w:rPr>
            </w:pPr>
            <w:r>
              <w:rPr>
                <w:rFonts w:eastAsia="Times New Roman" w:cs="Calibri" w:cstheme="minorHAnsi"/>
                <w:b/>
                <w:bCs/>
              </w:rPr>
              <w:t>4</w:t>
            </w:r>
            <w:r>
              <w:rPr>
                <w:rFonts w:eastAsia="Times New Roman" w:cs="Calibri" w:cstheme="minorHAnsi"/>
                <w:b/>
                <w:bCs/>
                <w:vertAlign w:val="superscript"/>
              </w:rPr>
              <w:t>η</w:t>
            </w:r>
            <w:r>
              <w:rPr>
                <w:rFonts w:eastAsia="Times New Roman" w:cs="Calibri" w:cstheme="minorHAnsi"/>
                <w:b/>
                <w:bCs/>
              </w:rPr>
              <w:t xml:space="preserve"> Υ. Πε. ΜΑΚΕΔΟΝΙΑΣ ΚΑΙ ΘΡΑΚΗΣ</w:t>
            </w:r>
          </w:p>
        </w:tc>
      </w:tr>
      <w:tr>
        <w:trPr>
          <w:trHeight w:val="291" w:hRule="atLeast"/>
        </w:trPr>
        <w:tc>
          <w:tcPr>
            <w:tcW w:w="10320" w:type="dxa"/>
            <w:tcBorders/>
          </w:tcPr>
          <w:p>
            <w:pPr>
              <w:pStyle w:val="Normal"/>
              <w:keepNext w:val="true"/>
              <w:widowControl w:val="false"/>
              <w:numPr>
                <w:ilvl w:val="0"/>
                <w:numId w:val="0"/>
              </w:numPr>
              <w:snapToGrid w:val="false"/>
              <w:spacing w:lineRule="auto" w:line="240" w:before="0" w:after="0"/>
              <w:ind w:hanging="0" w:left="0"/>
              <w:outlineLvl w:val="1"/>
              <w:rPr>
                <w:rFonts w:eastAsia="Times New Roman" w:cs="Calibri" w:cstheme="minorHAnsi"/>
                <w:b/>
                <w:bCs/>
              </w:rPr>
            </w:pPr>
            <w:r>
              <w:rPr>
                <w:rFonts w:eastAsia="Times New Roman" w:cs="Calibri" w:cstheme="minorHAnsi"/>
                <w:b/>
                <w:bCs/>
              </w:rPr>
              <w:t>ΓΕΝΙΚΟ ΝΟΣΟΚΟΜΕΙΟ ΣΕΡΡΩΝ</w:t>
            </w:r>
          </w:p>
        </w:tc>
      </w:tr>
    </w:tbl>
    <w:p>
      <w:pPr>
        <w:pStyle w:val="Normal"/>
        <w:spacing w:lineRule="auto" w:line="240" w:before="0" w:after="0"/>
        <w:rPr>
          <w:rFonts w:eastAsia="Times New Roman" w:cs="Calibri" w:cstheme="minorHAnsi"/>
          <w:b/>
          <w:lang w:eastAsia="el-GR"/>
        </w:rPr>
      </w:pPr>
      <w:r/>
      <w:r>
        <w:rPr>
          <w:rFonts w:eastAsia="Times New Roman" w:cs="Calibri" w:cstheme="minorHAnsi"/>
          <w:b/>
          <w:lang w:eastAsia="el-GR"/>
        </w:rPr>
        <w:t xml:space="preserve">Υποδιεύθυνση  Οικονομικού      </w:t>
        <w:tab/>
        <w:tab/>
        <w:tab/>
        <w:tab/>
        <w:tab/>
        <w:tab/>
      </w:r>
      <w:r>
        <w:rPr>
          <w:rFonts w:eastAsia="Times New Roman" w:cs="Calibri" w:cstheme="minorHAnsi"/>
          <w:b/>
          <w:sz w:val="24"/>
          <w:szCs w:val="24"/>
          <w:lang w:eastAsia="el-GR"/>
        </w:rPr>
        <w:t>Σέρρες</w:t>
      </w:r>
      <w:r>
        <w:rPr>
          <w:rFonts w:eastAsia="Times New Roman" w:cs="Calibri" w:cstheme="minorHAnsi"/>
          <w:b/>
          <w:sz w:val="24"/>
          <w:szCs w:val="24"/>
          <w:lang w:val="en-US" w:eastAsia="el-GR"/>
        </w:rPr>
        <w:t xml:space="preserve">      </w:t>
      </w:r>
      <w:r>
        <w:rPr>
          <w:rFonts w:eastAsia="Times New Roman" w:cs="Calibri" w:cstheme="minorHAnsi"/>
          <w:b/>
          <w:sz w:val="24"/>
          <w:szCs w:val="24"/>
          <w:lang w:eastAsia="el-GR"/>
        </w:rPr>
        <w:t xml:space="preserve"> </w:t>
      </w:r>
      <w:r>
        <w:rPr>
          <w:rFonts w:eastAsia="Times New Roman" w:cs="Calibri" w:cstheme="minorHAnsi"/>
          <w:b/>
          <w:sz w:val="24"/>
          <w:szCs w:val="24"/>
          <w:lang w:val="en-US" w:eastAsia="el-GR"/>
        </w:rPr>
        <w:t>2</w:t>
      </w:r>
      <w:r>
        <w:rPr>
          <w:rFonts w:eastAsia="Times New Roman" w:cs="Calibri" w:cstheme="minorHAnsi"/>
          <w:b/>
          <w:sz w:val="24"/>
          <w:szCs w:val="24"/>
          <w:lang w:val="el-GR" w:eastAsia="el-GR"/>
        </w:rPr>
        <w:t>9</w:t>
      </w:r>
      <w:r>
        <w:rPr>
          <w:rFonts w:eastAsia="Times New Roman" w:cs="Calibri" w:cstheme="minorHAnsi"/>
          <w:b/>
          <w:sz w:val="24"/>
          <w:szCs w:val="24"/>
          <w:lang w:val="en-US" w:eastAsia="el-GR"/>
        </w:rPr>
        <w:t>-11-2024</w:t>
      </w:r>
    </w:p>
    <w:p>
      <w:pPr>
        <w:pStyle w:val="Normal"/>
        <w:spacing w:lineRule="auto" w:line="240"/>
        <w:rPr>
          <w:rFonts w:eastAsia="Times New Roman" w:cs="Calibri" w:cstheme="minorHAnsi"/>
          <w:b/>
          <w:lang w:eastAsia="el-GR"/>
        </w:rPr>
      </w:pPr>
      <w:r>
        <w:rPr>
          <w:rFonts w:eastAsia="Times New Roman" w:cs="Calibri" w:cstheme="minorHAnsi"/>
          <w:b/>
          <w:lang w:val="en-US" w:eastAsia="el-GR"/>
        </w:rPr>
        <w:t>T</w:t>
      </w:r>
      <w:r>
        <w:rPr>
          <w:rFonts w:eastAsia="Times New Roman" w:cs="Calibri" w:cstheme="minorHAnsi"/>
          <w:b/>
          <w:lang w:eastAsia="el-GR"/>
        </w:rPr>
        <w:t xml:space="preserve">μήμα:     Προμηθειών </w:t>
        <w:tab/>
        <w:tab/>
        <w:tab/>
        <w:tab/>
        <w:tab/>
        <w:tab/>
        <w:tab/>
        <w:tab/>
      </w:r>
      <w:r>
        <w:rPr>
          <w:rFonts w:eastAsia="Times New Roman" w:cs="Calibri" w:cstheme="minorHAnsi"/>
          <w:b/>
          <w:sz w:val="24"/>
          <w:szCs w:val="24"/>
          <w:lang w:eastAsia="el-GR"/>
        </w:rPr>
        <w:t>Αρ. Πρωτ.:  19792</w:t>
      </w:r>
    </w:p>
    <w:tbl>
      <w:tblPr>
        <w:tblStyle w:val="af6"/>
        <w:tblW w:w="4503"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526"/>
        <w:gridCol w:w="2976"/>
      </w:tblGrid>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Ταχ. Δ/νση:</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2</w:t>
            </w:r>
            <w:r>
              <w:rPr>
                <w:rFonts w:eastAsia="Times New Roman" w:cs="Calibri" w:cstheme="minorHAnsi"/>
                <w:kern w:val="0"/>
                <w:sz w:val="22"/>
                <w:szCs w:val="22"/>
                <w:vertAlign w:val="superscript"/>
                <w:lang w:val="el-GR" w:eastAsia="el-GR" w:bidi="ar-SA"/>
              </w:rPr>
              <w:t>ο</w:t>
            </w:r>
            <w:r>
              <w:rPr>
                <w:rFonts w:eastAsia="Times New Roman" w:cs="Calibri" w:cstheme="minorHAnsi"/>
                <w:kern w:val="0"/>
                <w:sz w:val="22"/>
                <w:szCs w:val="22"/>
                <w:lang w:val="el-GR" w:eastAsia="el-GR" w:bidi="ar-SA"/>
              </w:rPr>
              <w:t>χλμ. Ε.Ο Σερρών-Δράμας</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Ταχ. Κώδικας:</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62100</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Πληροφορίες:</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Αναστάσιος Παπαδόπουλος</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Calibri" w:cs="Calibri" w:cstheme="minorHAnsi"/>
                <w:kern w:val="0"/>
                <w:sz w:val="22"/>
                <w:szCs w:val="22"/>
                <w:lang w:val="el-GR" w:eastAsia="en-US" w:bidi="ar-SA"/>
              </w:rPr>
              <w:t>Τηλέφωνο:</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l-GR" w:eastAsia="el-GR" w:bidi="ar-SA"/>
              </w:rPr>
              <w:t>23213 – 51290</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n-US" w:eastAsia="el-GR" w:bidi="ar-SA"/>
              </w:rPr>
              <w:t>Site:</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en-US" w:eastAsia="el-GR" w:bidi="ar-SA"/>
              </w:rPr>
              <w:t>www.hospser.gr</w:t>
            </w:r>
          </w:p>
        </w:tc>
      </w:tr>
      <w:tr>
        <w:trPr/>
        <w:tc>
          <w:tcPr>
            <w:tcW w:w="1526" w:type="dxa"/>
            <w:tcBorders>
              <w:top w:val="nil"/>
              <w:left w:val="nil"/>
              <w:bottom w:val="nil"/>
              <w:right w:val="nil"/>
            </w:tcBorders>
          </w:tcPr>
          <w:p>
            <w:pPr>
              <w:pStyle w:val="Normal"/>
              <w:widowControl w:val="false"/>
              <w:suppressAutoHyphens w:val="true"/>
              <w:spacing w:lineRule="auto" w:line="240" w:before="0" w:after="0"/>
              <w:jc w:val="left"/>
              <w:rPr>
                <w:rFonts w:cs="Calibri" w:cstheme="minorHAnsi"/>
              </w:rPr>
            </w:pPr>
            <w:r>
              <w:rPr>
                <w:rFonts w:eastAsia="Times New Roman" w:cs="Calibri" w:cstheme="minorHAnsi"/>
                <w:kern w:val="0"/>
                <w:sz w:val="22"/>
                <w:szCs w:val="22"/>
                <w:lang w:val="de-DE" w:eastAsia="el-GR" w:bidi="ar-SA"/>
              </w:rPr>
              <w:t>E-mail</w:t>
            </w:r>
            <w:r>
              <w:rPr>
                <w:rFonts w:eastAsia="Times New Roman" w:cs="Calibri" w:cstheme="minorHAnsi"/>
                <w:kern w:val="0"/>
                <w:sz w:val="22"/>
                <w:szCs w:val="22"/>
                <w:lang w:val="el-GR" w:eastAsia="el-GR" w:bidi="ar-SA"/>
              </w:rPr>
              <w:t>:</w:t>
            </w:r>
          </w:p>
        </w:tc>
        <w:tc>
          <w:tcPr>
            <w:tcW w:w="2976" w:type="dxa"/>
            <w:tcBorders>
              <w:top w:val="nil"/>
              <w:left w:val="nil"/>
              <w:bottom w:val="nil"/>
              <w:right w:val="nil"/>
            </w:tcBorders>
          </w:tcPr>
          <w:p>
            <w:pPr>
              <w:pStyle w:val="Normal"/>
              <w:widowControl w:val="false"/>
              <w:suppressAutoHyphens w:val="true"/>
              <w:spacing w:lineRule="auto" w:line="240" w:before="0" w:after="0"/>
              <w:jc w:val="left"/>
              <w:rPr>
                <w:rFonts w:eastAsia="Times New Roman" w:cs="Calibri" w:cstheme="minorHAnsi"/>
                <w:color w:val="0070C0"/>
                <w:lang w:val="en-US" w:eastAsia="el-GR"/>
              </w:rPr>
            </w:pPr>
            <w:r>
              <w:rPr>
                <w:rFonts w:eastAsia="Times New Roman" w:cs="Calibri" w:cstheme="minorHAnsi"/>
                <w:color w:val="0070C0"/>
                <w:kern w:val="0"/>
                <w:sz w:val="22"/>
                <w:szCs w:val="22"/>
                <w:lang w:val="en-US" w:eastAsia="el-GR" w:bidi="ar-SA"/>
              </w:rPr>
              <w:t>anastasiosp</w:t>
            </w:r>
            <w:hyperlink r:id="rId4">
              <w:r>
                <w:rPr>
                  <w:rStyle w:val="ListLabel64"/>
                  <w:rFonts w:eastAsia="Times New Roman" w:cs="Calibri" w:cstheme="minorHAnsi"/>
                  <w:color w:val="0070C0"/>
                  <w:kern w:val="0"/>
                  <w:sz w:val="22"/>
                  <w:szCs w:val="22"/>
                  <w:lang w:val="en-US" w:eastAsia="el-GR" w:bidi="ar-SA"/>
                </w:rPr>
                <w:t>@hospser.gr</w:t>
              </w:r>
            </w:hyperlink>
          </w:p>
          <w:p>
            <w:pPr>
              <w:pStyle w:val="Normal"/>
              <w:widowControl w:val="false"/>
              <w:suppressAutoHyphens w:val="true"/>
              <w:spacing w:lineRule="auto" w:line="240" w:before="0" w:after="0"/>
              <w:jc w:val="left"/>
              <w:rPr>
                <w:rFonts w:cs="Calibri" w:cstheme="minorHAnsi"/>
                <w:lang w:val="en-US"/>
              </w:rPr>
            </w:pPr>
            <w:r>
              <w:rPr>
                <w:rFonts w:cs="Calibri" w:cstheme="minorHAnsi"/>
                <w:lang w:val="en-US"/>
              </w:rPr>
            </w:r>
          </w:p>
        </w:tc>
      </w:tr>
    </w:tbl>
    <w:p>
      <w:pPr>
        <w:pStyle w:val="Normal"/>
        <w:spacing w:lineRule="auto" w:line="240"/>
        <w:jc w:val="center"/>
        <w:rPr>
          <w:rFonts w:cs="Calibri" w:cstheme="minorHAnsi"/>
          <w:b/>
          <w:bCs/>
          <w:sz w:val="28"/>
          <w:szCs w:val="28"/>
        </w:rPr>
      </w:pPr>
      <w:r>
        <w:rPr>
          <w:rFonts w:cs="Calibri" w:cstheme="minorHAnsi"/>
          <w:b/>
          <w:bCs/>
          <w:sz w:val="28"/>
          <w:szCs w:val="28"/>
        </w:rPr>
        <w:t xml:space="preserve">                                                                </w:t>
      </w:r>
      <w:r>
        <w:rPr>
          <w:rFonts w:cs="Calibri" w:cstheme="minorHAnsi"/>
          <w:b/>
          <w:bCs/>
          <w:sz w:val="26"/>
          <w:szCs w:val="26"/>
        </w:rPr>
        <w:t xml:space="preserve"> </w:t>
      </w:r>
      <w:r>
        <w:rPr>
          <w:rFonts w:cs="Calibri" w:cstheme="minorHAnsi"/>
          <w:b/>
          <w:bCs/>
          <w:sz w:val="22"/>
          <w:szCs w:val="22"/>
        </w:rPr>
        <w:t xml:space="preserve">ΠΡΟΣ </w:t>
      </w:r>
    </w:p>
    <w:p>
      <w:pPr>
        <w:pStyle w:val="Normal"/>
        <w:spacing w:lineRule="auto" w:line="240"/>
        <w:jc w:val="center"/>
        <w:rPr>
          <w:sz w:val="22"/>
          <w:szCs w:val="22"/>
        </w:rPr>
      </w:pPr>
      <w:r>
        <w:rPr>
          <w:rFonts w:cs="Calibri" w:cstheme="minorHAnsi"/>
          <w:b/>
          <w:bCs/>
          <w:sz w:val="22"/>
          <w:szCs w:val="22"/>
        </w:rPr>
        <w:t xml:space="preserve">                                                                                    </w:t>
      </w:r>
      <w:r>
        <w:rPr>
          <w:rFonts w:cs="Calibri" w:cstheme="minorHAnsi"/>
          <w:b/>
          <w:bCs/>
          <w:sz w:val="22"/>
          <w:szCs w:val="22"/>
        </w:rPr>
        <w:t xml:space="preserve">ΜΙΧΟΣ ΝΙΚΟΛΑΟΣ &amp; ΣΙΑ Ε.Ε. ΕΤΑΙΡΕΙΑ ΠΑΡΟΧΗΣ </w:t>
      </w:r>
    </w:p>
    <w:p>
      <w:pPr>
        <w:pStyle w:val="Normal"/>
        <w:spacing w:lineRule="auto" w:line="240"/>
        <w:jc w:val="center"/>
        <w:rPr>
          <w:sz w:val="22"/>
          <w:szCs w:val="22"/>
        </w:rPr>
      </w:pPr>
      <w:r>
        <w:rPr>
          <w:b/>
          <w:bCs/>
          <w:sz w:val="22"/>
          <w:szCs w:val="22"/>
        </w:rPr>
        <w:t xml:space="preserve">                                                                                 </w:t>
      </w:r>
      <w:r>
        <w:rPr>
          <w:b/>
          <w:bCs/>
          <w:sz w:val="22"/>
          <w:szCs w:val="22"/>
        </w:rPr>
        <w:t xml:space="preserve">ΥΠΗΡΕΣΙΩΝ-ΕΚΜΕΤΑΛΛΕΥΣΗΣ </w:t>
      </w:r>
      <w:r>
        <w:rPr>
          <w:rFonts w:cs="Calibri" w:cstheme="minorHAnsi"/>
          <w:b/>
          <w:bCs/>
          <w:sz w:val="22"/>
          <w:szCs w:val="22"/>
        </w:rPr>
        <w:t>ΚΥΛΙΚΕΙΩΝ</w:t>
      </w:r>
    </w:p>
    <w:p>
      <w:pPr>
        <w:pStyle w:val="Normal"/>
        <w:spacing w:lineRule="auto" w:line="240"/>
        <w:jc w:val="both"/>
        <w:rPr>
          <w:sz w:val="22"/>
          <w:szCs w:val="22"/>
        </w:rPr>
      </w:pPr>
      <w:r>
        <w:rPr>
          <w:rFonts w:cs="Calibri" w:cstheme="minorHAnsi"/>
          <w:b/>
          <w:bCs/>
          <w:sz w:val="22"/>
          <w:szCs w:val="22"/>
        </w:rPr>
        <w:t xml:space="preserve">                 </w:t>
      </w:r>
      <w:r>
        <w:rPr>
          <w:rFonts w:cs="Calibri" w:cstheme="minorHAnsi"/>
          <w:b/>
          <w:bCs/>
          <w:sz w:val="22"/>
          <w:szCs w:val="22"/>
        </w:rPr>
        <w:t xml:space="preserve">ΠΡΟΣΚΛΗΣΗ  ΥΠΟΒΟΛΗΣ ΠΛΕΙΟΔΟΤΙΚΗΣ ΠΡΟΣΦΟΡΑΣ  ΓΙΑ  ΤΗΝ  ΤΟΠΟΘΕΤΗΣΗ </w:t>
      </w:r>
      <w:r>
        <w:rPr>
          <w:rFonts w:eastAsia="Times New Roman" w:cs="Times New Roman"/>
          <w:b/>
          <w:bCs/>
          <w:iCs/>
          <w:color w:val="000000"/>
          <w:kern w:val="2"/>
          <w:sz w:val="22"/>
          <w:szCs w:val="22"/>
          <w:highlight w:val="white"/>
          <w:u w:val="none"/>
          <w:lang w:val="el-GR" w:eastAsia="el-GR" w:bidi="ar-SA"/>
        </w:rPr>
        <w:t>«</w:t>
      </w:r>
      <w:r>
        <w:rPr>
          <w:rFonts w:eastAsia="Times New Roman" w:cs="Times New Roman"/>
          <w:b/>
          <w:bCs/>
          <w:iCs/>
          <w:color w:val="000000"/>
          <w:kern w:val="2"/>
          <w:sz w:val="21"/>
          <w:szCs w:val="21"/>
          <w:highlight w:val="white"/>
          <w:u w:val="none"/>
          <w:lang w:val="el-GR" w:eastAsia="el-GR" w:bidi="ar-SA"/>
        </w:rPr>
        <w:t>ΟΚΤΩ ΑΥΤΟΜΑΤΩΝ ΠΩΛΗΤΩΝ ΡΟΦΗΜΑΤΩΝ, ΚΑΙ ΟΚΤΩ ΑΥΤΟΜΑΤΩΝ ΠΩΛΗΤΩΝ ΕΜΦΙΑΛΩΜΕΝΟΥ ΝΕΡΟΥ, ΑΝΑΨΥΚΤΙΚΩΝ, ΠΡΟΧΕΙΡΗΣ ΤΡΟΦΗΣ (</w:t>
      </w:r>
      <w:r>
        <w:rPr>
          <w:rFonts w:eastAsia="Times New Roman" w:cs="Times New Roman"/>
          <w:b/>
          <w:bCs/>
          <w:iCs/>
          <w:color w:val="000000"/>
          <w:kern w:val="2"/>
          <w:sz w:val="21"/>
          <w:szCs w:val="21"/>
          <w:highlight w:val="white"/>
          <w:u w:val="none"/>
          <w:lang w:val="en-US" w:eastAsia="el-GR" w:bidi="ar-SA"/>
        </w:rPr>
        <w:t>SNACK</w:t>
      </w:r>
      <w:r>
        <w:rPr>
          <w:rFonts w:eastAsia="Times New Roman" w:cs="Times New Roman"/>
          <w:b/>
          <w:bCs/>
          <w:iCs/>
          <w:color w:val="000000"/>
          <w:kern w:val="2"/>
          <w:sz w:val="21"/>
          <w:szCs w:val="21"/>
          <w:highlight w:val="white"/>
          <w:u w:val="none"/>
          <w:lang w:val="el-GR" w:eastAsia="el-GR" w:bidi="ar-SA"/>
        </w:rPr>
        <w:t>)</w:t>
      </w:r>
      <w:r>
        <w:rPr>
          <w:rFonts w:eastAsia="Times New Roman" w:cs="Calibri"/>
          <w:b/>
          <w:bCs/>
          <w:iCs/>
          <w:color w:val="000000"/>
          <w:kern w:val="2"/>
          <w:sz w:val="21"/>
          <w:szCs w:val="21"/>
          <w:highlight w:val="white"/>
          <w:u w:val="none"/>
          <w:lang w:val="el-GR" w:eastAsia="el-GR" w:bidi="ar-SA"/>
        </w:rPr>
        <w:t xml:space="preserve"> ΣΤΟΥΣ ΧΩΡΟΥΣ ΤΟΥ Γ.Ν. ΣΕΡΡΩΝ</w:t>
      </w:r>
      <w:r>
        <w:rPr>
          <w:rFonts w:eastAsia="Times New Roman" w:cs="Times New Roman"/>
          <w:b/>
          <w:bCs/>
          <w:iCs/>
          <w:color w:val="000000"/>
          <w:kern w:val="2"/>
          <w:sz w:val="22"/>
          <w:szCs w:val="22"/>
          <w:highlight w:val="white"/>
          <w:u w:val="none"/>
          <w:lang w:val="el-GR" w:eastAsia="el-GR" w:bidi="ar-SA"/>
        </w:rPr>
        <w:t xml:space="preserve">» </w:t>
      </w:r>
      <w:r>
        <w:rPr>
          <w:rFonts w:eastAsia="Times New Roman" w:cs="Times New Roman"/>
          <w:b/>
          <w:bCs/>
          <w:iCs/>
          <w:color w:val="000000"/>
          <w:kern w:val="2"/>
          <w:sz w:val="22"/>
          <w:szCs w:val="22"/>
          <w:highlight w:val="white"/>
          <w:u w:val="none"/>
          <w:lang w:val="en-US" w:eastAsia="el-GR" w:bidi="ar-SA"/>
        </w:rPr>
        <w:t xml:space="preserve">CPV </w:t>
      </w:r>
      <w:r>
        <w:rPr>
          <w:rFonts w:eastAsia="Times New Roman" w:cs="Calibri"/>
          <w:b/>
          <w:bCs/>
          <w:i w:val="false"/>
          <w:iCs/>
          <w:caps w:val="false"/>
          <w:smallCaps w:val="false"/>
          <w:color w:val="auto"/>
          <w:spacing w:val="0"/>
          <w:kern w:val="2"/>
          <w:sz w:val="22"/>
          <w:szCs w:val="22"/>
          <w:highlight w:val="white"/>
          <w:u w:val="none"/>
          <w:lang w:val="en-US" w:eastAsia="el-GR" w:bidi="ar-SA"/>
        </w:rPr>
        <w:t>15894500-6</w:t>
      </w:r>
      <w:r>
        <w:rPr>
          <w:rFonts w:cs="Calibri" w:cstheme="minorHAnsi"/>
          <w:b/>
          <w:bCs/>
          <w:sz w:val="22"/>
          <w:szCs w:val="22"/>
        </w:rPr>
        <w:t xml:space="preserve"> </w:t>
      </w:r>
    </w:p>
    <w:tbl>
      <w:tblPr>
        <w:tblW w:w="10403" w:type="dxa"/>
        <w:jc w:val="left"/>
        <w:tblInd w:w="52" w:type="dxa"/>
        <w:tblLayout w:type="fixed"/>
        <w:tblCellMar>
          <w:top w:w="0" w:type="dxa"/>
          <w:left w:w="108" w:type="dxa"/>
          <w:bottom w:w="0" w:type="dxa"/>
          <w:right w:w="108" w:type="dxa"/>
        </w:tblCellMar>
        <w:tblLook w:firstRow="1" w:noVBand="0" w:lastRow="1" w:firstColumn="1" w:lastColumn="1" w:noHBand="0" w:val="01e0"/>
      </w:tblPr>
      <w:tblGrid>
        <w:gridCol w:w="3887"/>
        <w:gridCol w:w="6515"/>
      </w:tblGrid>
      <w:tr>
        <w:trPr>
          <w:trHeight w:val="278"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right="-108"/>
              <w:rPr>
                <w:sz w:val="22"/>
                <w:szCs w:val="22"/>
              </w:rPr>
            </w:pPr>
            <w:r>
              <w:rPr>
                <w:rFonts w:eastAsia="Calibri" w:cs="Calibri" w:cstheme="minorHAnsi"/>
                <w:b/>
                <w:sz w:val="22"/>
                <w:szCs w:val="22"/>
              </w:rPr>
              <w:t>Αναθέτουσα Αρχή</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rFonts w:eastAsia="Calibri" w:cs="Calibri" w:cstheme="minorHAnsi"/>
              </w:rPr>
            </w:pPr>
            <w:r>
              <w:rPr>
                <w:rFonts w:eastAsia="Calibri" w:cs="Calibri" w:cstheme="minorHAnsi"/>
              </w:rPr>
              <w:t>Γενικό Νοσοκομείο Σερρών</w:t>
            </w:r>
          </w:p>
        </w:tc>
      </w:tr>
      <w:tr>
        <w:trPr>
          <w:trHeight w:val="149"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rPr>
                <w:sz w:val="22"/>
                <w:szCs w:val="22"/>
              </w:rPr>
            </w:pPr>
            <w:r>
              <w:rPr>
                <w:rFonts w:eastAsia="Times New Roman" w:cs="Calibri" w:cstheme="minorHAnsi"/>
                <w:b/>
                <w:sz w:val="22"/>
                <w:szCs w:val="22"/>
                <w:lang w:eastAsia="el-GR"/>
              </w:rPr>
              <w:t xml:space="preserve">  </w:t>
            </w:r>
            <w:r>
              <w:rPr>
                <w:rFonts w:eastAsia="Times New Roman" w:cs="Calibri" w:cstheme="minorHAnsi"/>
                <w:b/>
                <w:sz w:val="22"/>
                <w:szCs w:val="22"/>
                <w:lang w:eastAsia="el-GR"/>
              </w:rPr>
              <w:t xml:space="preserve">Αντικείμενο </w:t>
            </w:r>
            <w:r>
              <w:rPr>
                <w:rFonts w:eastAsia="Times New Roman" w:cs="Calibri" w:cstheme="minorHAnsi"/>
                <w:b/>
                <w:bCs/>
                <w:sz w:val="22"/>
                <w:szCs w:val="22"/>
                <w:lang w:eastAsia="el-GR"/>
              </w:rPr>
              <w:t>παροχής</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tLeast" w:line="340" w:before="0" w:after="120"/>
              <w:jc w:val="both"/>
              <w:rPr>
                <w:b w:val="false"/>
                <w:bCs w:val="false"/>
              </w:rPr>
            </w:pPr>
            <w:r>
              <w:rPr>
                <w:rFonts w:eastAsia="Times New Roman" w:cs="Calibri" w:cstheme="minorHAnsi"/>
                <w:b w:val="false"/>
                <w:bCs w:val="false"/>
                <w:sz w:val="22"/>
                <w:szCs w:val="22"/>
                <w:lang w:eastAsia="el-GR"/>
              </w:rPr>
              <w:t xml:space="preserve">Τοποθέτηση </w:t>
            </w:r>
            <w:r>
              <w:rPr>
                <w:rFonts w:eastAsia="Times New Roman" w:cs="Times New Roman"/>
                <w:b w:val="false"/>
                <w:bCs w:val="false"/>
                <w:iCs/>
                <w:color w:val="000000"/>
                <w:kern w:val="2"/>
                <w:sz w:val="22"/>
                <w:szCs w:val="22"/>
                <w:highlight w:val="white"/>
                <w:u w:val="none"/>
                <w:lang w:val="el-GR" w:eastAsia="el-GR" w:bidi="ar-SA"/>
              </w:rPr>
              <w:t>«</w:t>
            </w:r>
            <w:r>
              <w:rPr>
                <w:rFonts w:eastAsia="Times New Roman" w:cs="Times New Roman"/>
                <w:b w:val="false"/>
                <w:bCs w:val="false"/>
                <w:iCs/>
                <w:color w:val="000000"/>
                <w:kern w:val="2"/>
                <w:sz w:val="21"/>
                <w:szCs w:val="21"/>
                <w:highlight w:val="white"/>
                <w:u w:val="none"/>
                <w:lang w:val="el-GR" w:eastAsia="el-GR" w:bidi="ar-SA"/>
              </w:rPr>
              <w:t>ΟΚΤΩ ΑΥΤΟΜΑΤΩΝ ΠΩΛΗΤΩΝ ΡΟΦΗΜΑΤΩΝ, ΚΑΙ ΟΚΤΩ ΑΥΤΟΜΑΤΩΝ ΠΩΛΗΤΩΝ ΕΜΦΙΑΛΩΜΕΝΟΥ ΝΕΡΟΥ, ΑΝΑΨΥΚΤΙΚΩΝ, ΠΡΟΧΕΙΡΗΣ ΤΡΟΦΗΣ (</w:t>
            </w:r>
            <w:r>
              <w:rPr>
                <w:rFonts w:eastAsia="Times New Roman" w:cs="Times New Roman"/>
                <w:b w:val="false"/>
                <w:bCs w:val="false"/>
                <w:iCs/>
                <w:color w:val="000000"/>
                <w:kern w:val="2"/>
                <w:sz w:val="21"/>
                <w:szCs w:val="21"/>
                <w:highlight w:val="white"/>
                <w:u w:val="none"/>
                <w:lang w:val="en-US" w:eastAsia="el-GR" w:bidi="ar-SA"/>
              </w:rPr>
              <w:t>SNACK</w:t>
            </w:r>
            <w:r>
              <w:rPr>
                <w:rFonts w:eastAsia="Times New Roman" w:cs="Times New Roman"/>
                <w:b w:val="false"/>
                <w:bCs w:val="false"/>
                <w:iCs/>
                <w:color w:val="000000"/>
                <w:kern w:val="2"/>
                <w:sz w:val="21"/>
                <w:szCs w:val="21"/>
                <w:highlight w:val="white"/>
                <w:u w:val="none"/>
                <w:lang w:val="el-GR" w:eastAsia="el-GR" w:bidi="ar-SA"/>
              </w:rPr>
              <w:t>)</w:t>
            </w:r>
            <w:r>
              <w:rPr>
                <w:rFonts w:eastAsia="Times New Roman" w:cs="Calibri"/>
                <w:b w:val="false"/>
                <w:bCs w:val="false"/>
                <w:iCs/>
                <w:color w:val="000000"/>
                <w:kern w:val="2"/>
                <w:sz w:val="21"/>
                <w:szCs w:val="21"/>
                <w:highlight w:val="white"/>
                <w:u w:val="none"/>
                <w:lang w:val="el-GR" w:eastAsia="el-GR" w:bidi="ar-SA"/>
              </w:rPr>
              <w:t xml:space="preserve"> ΣΤΟΥΣ ΧΩΡΟΥΣ ΤΟΥ Γ.Ν. ΣΕΡΡΩΝ</w:t>
            </w:r>
            <w:r>
              <w:rPr>
                <w:rFonts w:eastAsia="Times New Roman" w:cs="Times New Roman"/>
                <w:b w:val="false"/>
                <w:bCs w:val="false"/>
                <w:iCs/>
                <w:color w:val="000000"/>
                <w:kern w:val="2"/>
                <w:sz w:val="22"/>
                <w:szCs w:val="22"/>
                <w:highlight w:val="white"/>
                <w:u w:val="none"/>
                <w:lang w:val="el-GR" w:eastAsia="el-GR" w:bidi="ar-SA"/>
              </w:rPr>
              <w:t>»</w:t>
            </w:r>
          </w:p>
          <w:p>
            <w:pPr>
              <w:pStyle w:val="Normal"/>
              <w:widowControl w:val="false"/>
              <w:spacing w:lineRule="auto" w:line="240" w:before="0" w:after="0"/>
              <w:ind w:right="-108"/>
              <w:rPr>
                <w:rFonts w:eastAsia="Times New Roman" w:cs="Calibri" w:cstheme="minorHAnsi"/>
                <w:lang w:eastAsia="el-GR"/>
              </w:rPr>
            </w:pPr>
            <w:r>
              <w:rPr>
                <w:rFonts w:eastAsia="Times New Roman" w:cs="Calibri" w:cstheme="minorHAnsi"/>
                <w:lang w:eastAsia="el-GR"/>
              </w:rPr>
            </w:r>
          </w:p>
        </w:tc>
      </w:tr>
      <w:tr>
        <w:trPr>
          <w:trHeight w:val="477"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sz w:val="22"/>
                <w:szCs w:val="22"/>
              </w:rPr>
            </w:pPr>
            <w:r>
              <w:rPr>
                <w:rFonts w:eastAsia="Times New Roman" w:cs="Calibri" w:cstheme="minorHAnsi"/>
                <w:b/>
                <w:sz w:val="22"/>
                <w:szCs w:val="22"/>
                <w:lang w:eastAsia="el-GR"/>
              </w:rPr>
              <w:t xml:space="preserve">  </w:t>
            </w:r>
            <w:r>
              <w:rPr>
                <w:rFonts w:eastAsia="Times New Roman" w:cs="Calibri" w:cstheme="minorHAnsi"/>
                <w:b/>
                <w:sz w:val="22"/>
                <w:szCs w:val="22"/>
                <w:lang w:eastAsia="el-GR"/>
              </w:rPr>
              <w:t>Κωδικός CPV</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tabs>
                <w:tab w:val="clear" w:pos="720"/>
                <w:tab w:val="left" w:pos="851" w:leader="none"/>
                <w:tab w:val="left" w:pos="1134" w:leader="none"/>
              </w:tabs>
              <w:spacing w:before="0" w:after="240"/>
              <w:jc w:val="both"/>
              <w:rPr>
                <w:rFonts w:eastAsia="Calibri" w:cs="Calibri" w:cstheme="minorHAnsi"/>
                <w:color w:val="000000"/>
              </w:rPr>
            </w:pPr>
            <w:r>
              <w:rPr>
                <w:rFonts w:eastAsia="Calibri" w:cs="Calibri" w:cstheme="minorHAnsi"/>
                <w:color w:val="000000"/>
              </w:rPr>
              <w:t>15894500-6</w:t>
            </w:r>
          </w:p>
        </w:tc>
      </w:tr>
      <w:tr>
        <w:trPr>
          <w:trHeight w:val="778"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rPr>
                <w:sz w:val="22"/>
                <w:szCs w:val="22"/>
              </w:rPr>
            </w:pPr>
            <w:r>
              <w:rPr>
                <w:rFonts w:cs="Calibri" w:cstheme="minorHAnsi"/>
                <w:b/>
                <w:bCs/>
                <w:sz w:val="22"/>
                <w:szCs w:val="22"/>
              </w:rPr>
              <w:t>Κριτήριο Ανάθεσης</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8"/>
              <w:rPr>
                <w:rFonts w:eastAsia="Calibri" w:cs="Calibri" w:cstheme="minorHAnsi"/>
              </w:rPr>
            </w:pPr>
            <w:r>
              <w:rPr>
                <w:rFonts w:eastAsia="Times New Roman" w:cs="Calibri" w:cstheme="minorHAnsi"/>
                <w:sz w:val="24"/>
                <w:szCs w:val="24"/>
                <w:lang w:eastAsia="el-GR"/>
              </w:rPr>
              <w:t>Το υψηλότερο προσφερόμενο μηνιαίο τίμημα ανά μηχάνημα</w:t>
            </w:r>
          </w:p>
        </w:tc>
      </w:tr>
      <w:tr>
        <w:trPr>
          <w:trHeight w:val="699"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sz w:val="22"/>
                <w:szCs w:val="22"/>
              </w:rPr>
            </w:pPr>
            <w:r>
              <w:rPr>
                <w:rFonts w:eastAsia="Times New Roman" w:cs="Calibri" w:cstheme="minorHAnsi"/>
                <w:b/>
                <w:sz w:val="22"/>
                <w:szCs w:val="22"/>
                <w:lang w:eastAsia="el-GR"/>
              </w:rPr>
              <w:t xml:space="preserve">  </w:t>
            </w:r>
            <w:r>
              <w:rPr>
                <w:rFonts w:eastAsia="Times New Roman" w:cs="Calibri" w:cstheme="minorHAnsi"/>
                <w:b/>
                <w:sz w:val="22"/>
                <w:szCs w:val="22"/>
                <w:lang w:eastAsia="el-GR"/>
              </w:rPr>
              <w:t>Τόπος διενέργειας του διαγωνισμού</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rFonts w:eastAsia="Times New Roman" w:cs="Calibri" w:cstheme="minorHAnsi"/>
                <w:lang w:eastAsia="el-GR"/>
              </w:rPr>
            </w:pPr>
            <w:r>
              <w:rPr>
                <w:rFonts w:eastAsia="Times New Roman" w:cs="Calibri" w:cstheme="minorHAnsi"/>
                <w:lang w:eastAsia="el-GR"/>
              </w:rPr>
              <w:t>Γενικό Νοσοκομείο Σερρών, Τμήμα Προμηθειών,</w:t>
            </w:r>
          </w:p>
        </w:tc>
      </w:tr>
      <w:tr>
        <w:trPr>
          <w:trHeight w:val="1405"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sz w:val="22"/>
                <w:szCs w:val="22"/>
              </w:rPr>
            </w:pPr>
            <w:r>
              <w:rPr>
                <w:rFonts w:cs="Calibri" w:cstheme="minorHAnsi"/>
                <w:b/>
                <w:sz w:val="22"/>
                <w:szCs w:val="22"/>
                <w:lang w:eastAsia="el-GR"/>
              </w:rPr>
              <w:t xml:space="preserve">  </w:t>
            </w:r>
            <w:r>
              <w:rPr>
                <w:rFonts w:cs="Calibri" w:cstheme="minorHAnsi"/>
                <w:b/>
                <w:sz w:val="22"/>
                <w:szCs w:val="22"/>
                <w:lang w:eastAsia="el-GR"/>
              </w:rPr>
              <w:t>Τόπος κατάθεσης των προσφορών</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both"/>
              <w:rPr>
                <w:rFonts w:cs="Calibri" w:cstheme="minorHAnsi"/>
              </w:rPr>
            </w:pPr>
            <w:r>
              <w:rPr>
                <w:rFonts w:cs="Calibri" w:cstheme="minorHAnsi"/>
              </w:rPr>
              <w:t>Η προσφορά κατατίθεται ή αποστέλλεται ταχυδρομικά στο Τμήμα  Γραμματείας  του Γ.Ν. Σερρών, σε σφραγισμένο φάκελο, στη διεύθυνση:</w:t>
            </w:r>
          </w:p>
          <w:p>
            <w:pPr>
              <w:pStyle w:val="Normal"/>
              <w:widowControl w:val="false"/>
              <w:spacing w:before="0" w:after="0"/>
              <w:ind w:right="-108"/>
              <w:jc w:val="both"/>
              <w:rPr>
                <w:rFonts w:cs="Calibri" w:cstheme="minorHAnsi"/>
                <w:lang w:eastAsia="el-GR"/>
              </w:rPr>
            </w:pPr>
            <w:r>
              <w:rPr>
                <w:rFonts w:cs="Calibri" w:cstheme="minorHAnsi"/>
                <w:lang w:eastAsia="el-GR"/>
              </w:rPr>
              <w:t>Γενικό Νοσοκομείο Σερρών, 2</w:t>
            </w:r>
            <w:r>
              <w:rPr>
                <w:rFonts w:cs="Calibri" w:cstheme="minorHAnsi"/>
                <w:vertAlign w:val="superscript"/>
                <w:lang w:eastAsia="el-GR"/>
              </w:rPr>
              <w:t xml:space="preserve">ο </w:t>
            </w:r>
            <w:r>
              <w:rPr>
                <w:rFonts w:cs="Calibri" w:cstheme="minorHAnsi"/>
                <w:lang w:eastAsia="el-GR"/>
              </w:rPr>
              <w:t>χ.λ.μ. Ε.Ο. Σερρών-Δράμας.</w:t>
            </w:r>
          </w:p>
          <w:p>
            <w:pPr>
              <w:pStyle w:val="Normal"/>
              <w:widowControl w:val="false"/>
              <w:spacing w:lineRule="auto" w:line="240" w:before="0" w:after="0"/>
              <w:ind w:right="-108"/>
              <w:jc w:val="both"/>
              <w:rPr>
                <w:rFonts w:eastAsia="Times New Roman" w:cs="Calibri" w:cstheme="minorHAnsi"/>
                <w:lang w:eastAsia="el-GR"/>
              </w:rPr>
            </w:pPr>
            <w:r>
              <w:rPr>
                <w:rFonts w:cs="Calibri" w:cstheme="minorHAnsi"/>
                <w:lang w:eastAsia="el-GR"/>
              </w:rPr>
              <w:t>Τ.Κ 62 100, για το Τμήμα Προμηθειών.</w:t>
            </w:r>
          </w:p>
        </w:tc>
      </w:tr>
      <w:tr>
        <w:trPr>
          <w:trHeight w:val="701"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sz w:val="22"/>
                <w:szCs w:val="22"/>
                <w:highlight w:val="none"/>
                <w:shd w:fill="auto" w:val="clear"/>
              </w:rPr>
            </w:pPr>
            <w:r>
              <w:rPr>
                <w:rFonts w:cs="Calibri" w:cstheme="minorHAnsi"/>
                <w:b/>
                <w:bCs/>
                <w:sz w:val="22"/>
                <w:szCs w:val="22"/>
                <w:shd w:fill="auto" w:val="clear"/>
              </w:rPr>
              <w:t xml:space="preserve">  </w:t>
            </w:r>
            <w:r>
              <w:rPr>
                <w:rFonts w:cs="Calibri" w:cstheme="minorHAnsi"/>
                <w:b/>
                <w:bCs/>
                <w:sz w:val="22"/>
                <w:szCs w:val="22"/>
                <w:shd w:fill="auto" w:val="clear"/>
              </w:rPr>
              <w:t>Καταληκτική ημερομηνία υποβολής</w:t>
            </w:r>
          </w:p>
          <w:p>
            <w:pPr>
              <w:pStyle w:val="Normal"/>
              <w:widowControl w:val="false"/>
              <w:tabs>
                <w:tab w:val="clear" w:pos="720"/>
                <w:tab w:val="left" w:pos="176" w:leader="none"/>
              </w:tabs>
              <w:spacing w:lineRule="auto" w:line="240" w:before="0" w:after="0"/>
              <w:ind w:left="-108" w:right="-108"/>
              <w:rPr>
                <w:sz w:val="22"/>
                <w:szCs w:val="22"/>
                <w:highlight w:val="none"/>
                <w:shd w:fill="auto" w:val="clear"/>
              </w:rPr>
            </w:pPr>
            <w:r>
              <w:rPr>
                <w:rFonts w:cs="Calibri" w:cstheme="minorHAnsi"/>
                <w:b/>
                <w:bCs/>
                <w:sz w:val="22"/>
                <w:szCs w:val="22"/>
                <w:shd w:fill="auto" w:val="clear"/>
              </w:rPr>
              <w:t xml:space="preserve">  </w:t>
            </w:r>
            <w:r>
              <w:rPr>
                <w:rFonts w:cs="Calibri" w:cstheme="minorHAnsi"/>
                <w:b/>
                <w:bCs/>
                <w:sz w:val="22"/>
                <w:szCs w:val="22"/>
                <w:shd w:fill="auto" w:val="clear"/>
              </w:rPr>
              <w:t>προσφορών</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highlight w:val="none"/>
                <w:shd w:fill="auto" w:val="clear"/>
              </w:rPr>
            </w:pPr>
            <w:r>
              <w:rPr>
                <w:rFonts w:eastAsia="Times New Roman" w:cs="Calibri" w:cstheme="minorHAnsi"/>
                <w:b/>
                <w:shd w:fill="auto" w:val="clear"/>
                <w:lang w:eastAsia="el-GR"/>
              </w:rPr>
              <w:t>03/12/2024  ημέρα Τρίτη  και ώρα 14:30 μ.μ.</w:t>
            </w:r>
          </w:p>
        </w:tc>
      </w:tr>
      <w:tr>
        <w:trPr>
          <w:trHeight w:val="555" w:hRule="atLeast"/>
        </w:trPr>
        <w:tc>
          <w:tcPr>
            <w:tcW w:w="388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jc w:val="both"/>
              <w:rPr>
                <w:rFonts w:eastAsia="Calibri" w:cs="Calibri" w:cstheme="minorHAnsi"/>
                <w:b/>
              </w:rPr>
            </w:pPr>
            <w:r>
              <w:rPr>
                <w:rFonts w:cs="Calibri" w:cstheme="minorHAnsi"/>
                <w:b/>
                <w:bCs/>
              </w:rPr>
              <w:t xml:space="preserve">  </w:t>
            </w:r>
            <w:r>
              <w:rPr>
                <w:rFonts w:cs="Calibri" w:cstheme="minorHAnsi"/>
                <w:b/>
                <w:bCs/>
                <w:sz w:val="22"/>
                <w:szCs w:val="22"/>
              </w:rPr>
              <w:t>Ημερομηνία αποσφράγισης προσφορών</w:t>
            </w:r>
          </w:p>
        </w:tc>
        <w:tc>
          <w:tcPr>
            <w:tcW w:w="651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rFonts w:cs="Calibri" w:cstheme="minorHAnsi"/>
                <w:highlight w:val="none"/>
                <w:shd w:fill="auto" w:val="clear"/>
              </w:rPr>
            </w:pPr>
            <w:r>
              <w:rPr>
                <w:rFonts w:eastAsia="Times New Roman" w:cs="Calibri" w:cstheme="minorHAnsi"/>
                <w:b/>
                <w:shd w:fill="auto" w:val="clear"/>
                <w:lang w:eastAsia="el-GR"/>
              </w:rPr>
              <w:t>4/12/2024  ημέρα  Τετάρτη  και ώρα 11:00 π.μ.</w:t>
            </w:r>
          </w:p>
        </w:tc>
      </w:tr>
    </w:tbl>
    <w:p>
      <w:pPr>
        <w:pStyle w:val="Normal"/>
        <w:spacing w:lineRule="auto" w:line="240" w:before="0" w:after="0"/>
        <w:rPr>
          <w:rFonts w:cs="Calibri" w:cstheme="minorHAnsi"/>
          <w:b/>
          <w:bCs/>
        </w:rPr>
      </w:pPr>
      <w:r>
        <w:rPr>
          <w:rFonts w:cs="Calibri" w:cstheme="minorHAnsi"/>
          <w:b/>
          <w:bCs/>
        </w:rPr>
      </w:r>
    </w:p>
    <w:p>
      <w:pPr>
        <w:pStyle w:val="Normal"/>
        <w:spacing w:lineRule="auto" w:line="240"/>
        <w:ind w:firstLine="720" w:left="2880"/>
        <w:rPr>
          <w:u w:val="none"/>
        </w:rPr>
      </w:pPr>
      <w:r>
        <w:rPr>
          <w:b/>
          <w:u w:val="none"/>
        </w:rPr>
        <w:t xml:space="preserve">      </w:t>
      </w:r>
      <w:r>
        <w:rPr>
          <w:b/>
          <w:sz w:val="24"/>
          <w:szCs w:val="24"/>
          <w:u w:val="none"/>
        </w:rPr>
        <w:t xml:space="preserve">      </w:t>
      </w:r>
      <w:r>
        <w:rPr>
          <w:b/>
          <w:sz w:val="22"/>
          <w:szCs w:val="22"/>
          <w:u w:val="none"/>
        </w:rPr>
        <w:t xml:space="preserve">    </w:t>
      </w:r>
      <w:r>
        <w:rPr>
          <w:b/>
          <w:sz w:val="22"/>
          <w:szCs w:val="22"/>
          <w:u w:val="none"/>
        </w:rPr>
        <w:t>Θεσμικό πλαίσιο</w:t>
      </w:r>
    </w:p>
    <w:p>
      <w:pPr>
        <w:pStyle w:val="Normal"/>
        <w:jc w:val="both"/>
        <w:rPr/>
      </w:pPr>
      <w:r>
        <w:rPr>
          <w:sz w:val="22"/>
          <w:szCs w:val="22"/>
        </w:rPr>
        <w:t>Η ανάθεση και εκτέλεση της σύμβασης διέπονται από την κείμενη νομοθεσία και τις κατ΄ εξουσιοδότηση αυτής εκδοθείσες κανονιστικές πράξεις, όπως ισχύουν και ιδίως:</w:t>
      </w:r>
      <w:r>
        <w:rPr>
          <w:rStyle w:val="Style13"/>
          <w:sz w:val="22"/>
          <w:szCs w:val="22"/>
        </w:rPr>
        <w:t>:</w:t>
      </w:r>
    </w:p>
    <w:p>
      <w:pPr>
        <w:pStyle w:val="Normal"/>
        <w:jc w:val="both"/>
        <w:rPr>
          <w:sz w:val="22"/>
          <w:szCs w:val="22"/>
        </w:rPr>
      </w:pPr>
      <w:r>
        <w:rPr>
          <w:sz w:val="22"/>
          <w:szCs w:val="22"/>
        </w:rPr>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i w:val="false"/>
          <w:iCs w:val="false"/>
          <w:sz w:val="22"/>
          <w:szCs w:val="22"/>
          <w:lang w:eastAsia="el-GR"/>
        </w:rPr>
        <w:t>τις διατάξεις του ΠΔ 715/79</w:t>
      </w:r>
      <w:r>
        <w:rPr>
          <w:rFonts w:eastAsia="Times New Roman" w:cs="Calibri" w:cstheme="minorHAnsi"/>
          <w:i/>
          <w:sz w:val="22"/>
          <w:szCs w:val="22"/>
          <w:lang w:eastAsia="el-GR"/>
        </w:rPr>
        <w:t xml:space="preserve"> «Περί τρόπου ενεργείας των Νομικών Προσώπων Δημοσίου Δικαίου (Ν.Π.Δ.Δ.), προμηθειών, μισθώσεων και εκμισθώσεων εν γένει, αγορών ή εκποιήσεων ακινήτων, εκποιήσεων κινητών πραγμάτων ως και εκτελέσεως εργασιών»,</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b w:val="false"/>
          <w:bCs w:val="false"/>
          <w:sz w:val="22"/>
          <w:szCs w:val="22"/>
          <w:lang w:eastAsia="el-GR"/>
        </w:rPr>
        <w:t>τις διατάξεις του ν. 3329/2005(ΦΕΚ 81/Α/05) «</w:t>
      </w:r>
      <w:r>
        <w:rPr>
          <w:rFonts w:eastAsia="Times New Roman" w:cs="Calibri" w:cstheme="minorHAnsi"/>
          <w:b w:val="false"/>
          <w:bCs w:val="false"/>
          <w:i/>
          <w:iCs/>
          <w:sz w:val="22"/>
          <w:szCs w:val="22"/>
          <w:lang w:eastAsia="el-GR"/>
        </w:rPr>
        <w:t>Εθνικό Σύστημα Υγείας και Κοινωνικής Αλληλεγγύης και λοιπές διατάξεις</w:t>
      </w:r>
      <w:r>
        <w:rPr>
          <w:rFonts w:eastAsia="Times New Roman" w:cs="Calibri" w:cstheme="minorHAnsi"/>
          <w:b w:val="false"/>
          <w:bCs w:val="false"/>
          <w:sz w:val="22"/>
          <w:szCs w:val="22"/>
          <w:lang w:eastAsia="el-GR"/>
        </w:rPr>
        <w:t>»,</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τις διατάξεις του Κεφαλαίου Β’ ν.3527/2007 (ΦΕΚ΄25/9.2.2007) «</w:t>
      </w:r>
      <w:r>
        <w:rPr>
          <w:rFonts w:eastAsia="Times New Roman" w:cs="Calibri" w:cstheme="minorHAnsi"/>
          <w:i/>
          <w:iCs/>
          <w:sz w:val="22"/>
          <w:szCs w:val="22"/>
          <w:lang w:eastAsia="el-GR"/>
        </w:rPr>
        <w:t>Κύρωση Συμβάσεων υπέρ νομικών προσώπων εποπτευομένων από το Υπουργείο Υγείας και Κοινωνικής Αλληλεγγύης και λοιπές διατάξεις</w:t>
      </w:r>
      <w:r>
        <w:rPr>
          <w:rFonts w:eastAsia="Times New Roman" w:cs="Calibri" w:cstheme="minorHAnsi"/>
          <w:sz w:val="22"/>
          <w:szCs w:val="22"/>
          <w:lang w:eastAsia="el-GR"/>
        </w:rPr>
        <w:t>», όπως τροποποιήθηκαν και ισχύουν,</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τις διατάξεις του ν. 3580/2007 όπως τροποποιήθηκε με το ν. 3846/2010 άρθρο 3Α, παρ. 1 σύμφωνα με τον οποίο η σύναψη συμβάσεων προμήθειας προϊόντων και παροχής Υπηρεσιών ανατίθεται στα Νομικά Πρόσωπα του άρθρου 9 παρ.1,</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τις διατάξεις του ν.3861/2010 «</w:t>
      </w:r>
      <w:r>
        <w:rPr>
          <w:rFonts w:eastAsia="Times New Roman" w:cs="Calibri" w:cstheme="minorHAnsi"/>
          <w:i/>
          <w:iCs/>
          <w:sz w:val="22"/>
          <w:szCs w:val="22"/>
          <w:lang w:eastAsia="el-GR"/>
        </w:rPr>
        <w:t>Ενίσχυση της διαφάνειας με την υποχρεωτική ανάρτηση νόμων και πράξεων των κυβερνητικών, διοικητικών και αυτοδιοικητικών οργάνων δημοσιότητα στο διαδίκτυο «Πρόγραμμα Διαύγεια» και άλλες διατάξεις</w:t>
      </w:r>
      <w:r>
        <w:rPr>
          <w:rFonts w:eastAsia="Times New Roman" w:cs="Calibri" w:cstheme="minorHAnsi"/>
          <w:sz w:val="22"/>
          <w:szCs w:val="22"/>
          <w:lang w:eastAsia="el-GR"/>
        </w:rPr>
        <w:t>»,</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την υπ’αριθμ.Υ.Δ.Α1β/8577/1983 (ΦΕΚ Β-526/8-9-1983) «</w:t>
      </w:r>
      <w:r>
        <w:rPr>
          <w:rFonts w:eastAsia="Times New Roman" w:cs="Calibri" w:cstheme="minorHAnsi"/>
          <w:i/>
          <w:iCs/>
          <w:sz w:val="22"/>
          <w:szCs w:val="22"/>
          <w:lang w:eastAsia="el-GR"/>
        </w:rPr>
        <w:t>Υγειονομικός έλεγχος των αδειών ιδρύσεως και λειτουργίας των εγκαταστάσεων επιχειρήσεων υγειονομικού ενδιαφέροντος, καθώς και των γενικών και ειδικών όρων ιδρύσεως και λειτουργίας των εργαστηρίων και καταστημάτων τροφίμων ή/και ποτών</w:t>
      </w:r>
      <w:r>
        <w:rPr>
          <w:rFonts w:eastAsia="Times New Roman" w:cs="Calibri" w:cstheme="minorHAnsi"/>
          <w:sz w:val="22"/>
          <w:szCs w:val="22"/>
          <w:lang w:eastAsia="el-GR"/>
        </w:rPr>
        <w:t>»</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την υπ’αριθμ.Υ.Α.Υ1γ/Γ.Π/οικ.96967/2012 (ΦΕΚ Β-2718/8-10-2012) Νέα Υγειονομική Διάταξη «</w:t>
      </w:r>
      <w:r>
        <w:rPr>
          <w:rFonts w:eastAsia="Times New Roman" w:cs="Calibri" w:cstheme="minorHAnsi"/>
          <w:i/>
          <w:iCs/>
          <w:sz w:val="22"/>
          <w:szCs w:val="22"/>
          <w:lang w:eastAsia="el-GR"/>
        </w:rPr>
        <w:t>Υγειονομικοί όροι και προϋποθέσεις λειτουργίας επιχειρήσεων τροφίμων και ποτών και άλλες διατάξεις</w:t>
      </w:r>
      <w:r>
        <w:rPr>
          <w:rFonts w:eastAsia="Times New Roman" w:cs="Calibri" w:cstheme="minorHAnsi"/>
          <w:sz w:val="22"/>
          <w:szCs w:val="22"/>
          <w:lang w:eastAsia="el-GR"/>
        </w:rPr>
        <w:t>»,</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το άρθρο 137 της υπουργικής απόφασης Α2-718/2014 (ΦΕΚ 2090/Β ^/31-7-2014) «</w:t>
      </w:r>
      <w:r>
        <w:rPr>
          <w:rFonts w:eastAsia="Times New Roman" w:cs="Calibri" w:cstheme="minorHAnsi"/>
          <w:i/>
          <w:iCs/>
          <w:sz w:val="22"/>
          <w:szCs w:val="22"/>
          <w:lang w:eastAsia="el-GR"/>
        </w:rPr>
        <w:t>Κωδικοποίηση Κανόνων Διακίνησης και Εμπορίας Προϊόντων και Παροχής Υπηρεσιών (Κανόνες ΔΙ.Ε.Π.Π.Υ.)</w:t>
      </w:r>
      <w:r>
        <w:rPr>
          <w:rFonts w:eastAsia="Times New Roman" w:cs="Calibri" w:cstheme="minorHAnsi"/>
          <w:sz w:val="22"/>
          <w:szCs w:val="22"/>
          <w:lang w:eastAsia="el-GR"/>
        </w:rPr>
        <w:t xml:space="preserve">», </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την υπ’ αριθμ. 70776/4-7-2016 (ΦΕΚ2091/Β΄/7-7-2016) υπουργική απόφαση «Αντικατάσταση του αρ.137 της υπουργικής απόφασης Α2-718/2014 “</w:t>
      </w:r>
      <w:r>
        <w:rPr>
          <w:rFonts w:eastAsia="Times New Roman" w:cs="Calibri" w:cstheme="minorHAnsi"/>
          <w:i/>
          <w:iCs/>
          <w:sz w:val="22"/>
          <w:szCs w:val="22"/>
          <w:lang w:eastAsia="el-GR"/>
        </w:rPr>
        <w:t>Κωδικοποίηση Κανόνων Διακίνησης και Εμπορίας Προϊόντων και Παροχής Υπηρεσιών (Κανόνες ΔΙΕΠΠΥ)</w:t>
      </w:r>
      <w:r>
        <w:rPr>
          <w:rFonts w:eastAsia="Times New Roman" w:cs="Calibri" w:cstheme="minorHAnsi"/>
          <w:sz w:val="22"/>
          <w:szCs w:val="22"/>
          <w:lang w:eastAsia="el-GR"/>
        </w:rPr>
        <w:t xml:space="preserve">”», </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bCs/>
          <w:iCs/>
          <w:sz w:val="22"/>
          <w:szCs w:val="22"/>
          <w:lang w:eastAsia="el-GR"/>
        </w:rPr>
        <w:t>το αρ. 115 της υπ’ αρ. 91354 (ΦΕΚ2983/Β΄/30-8-2017) υπουργικής απόφασης «</w:t>
      </w:r>
      <w:r>
        <w:rPr>
          <w:rFonts w:eastAsia="Times New Roman" w:cs="Calibri" w:cstheme="minorHAnsi"/>
          <w:bCs/>
          <w:i/>
          <w:iCs/>
          <w:sz w:val="22"/>
          <w:szCs w:val="22"/>
          <w:lang w:eastAsia="el-GR"/>
        </w:rPr>
        <w:t>Κωδικοποίηση Κανόνων Διακίνησης και Εμπορίας Προϊόντων και Παροχής Υπηρεσιών (Κανόνες ΔΙ.Ε.Π.Π.Υ.</w:t>
      </w:r>
      <w:r>
        <w:rPr>
          <w:rFonts w:eastAsia="Times New Roman" w:cs="Calibri" w:cstheme="minorHAnsi"/>
          <w:bCs/>
          <w:iCs/>
          <w:sz w:val="22"/>
          <w:szCs w:val="22"/>
          <w:lang w:eastAsia="el-GR"/>
        </w:rPr>
        <w:t>)» 11.την ΚΥΑ Υ1γ/Γ.Π./οικ.47289/2017 του Υπουργού Υγείας (ΦΕΚ2161/Β ^/23-6-2017) «</w:t>
      </w:r>
      <w:r>
        <w:rPr>
          <w:rFonts w:eastAsia="Times New Roman" w:cs="Calibri" w:cstheme="minorHAnsi"/>
          <w:bCs/>
          <w:i/>
          <w:iCs/>
          <w:sz w:val="22"/>
          <w:szCs w:val="22"/>
          <w:lang w:eastAsia="el-GR"/>
        </w:rPr>
        <w:t>Υγειονομικοί όροι και προϋποθέσεις λειτουργίας επιχειρήσεων τροφίμων/ ποτών και άλλες διατάξεις</w:t>
      </w:r>
      <w:r>
        <w:rPr>
          <w:rFonts w:eastAsia="Times New Roman" w:cs="Calibri" w:cstheme="minorHAnsi"/>
          <w:bCs/>
          <w:iCs/>
          <w:sz w:val="22"/>
          <w:szCs w:val="22"/>
          <w:lang w:eastAsia="el-GR"/>
        </w:rPr>
        <w:t xml:space="preserve">», </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την ΚΥΑ Υ1γ/Γ.Π./οικ.47289/2017 του Υπουργού Υγείας (ΦΕΚ2161/Β΄/23-6-2017) «</w:t>
      </w:r>
      <w:r>
        <w:rPr>
          <w:rFonts w:eastAsia="Times New Roman" w:cs="Calibri" w:cstheme="minorHAnsi"/>
          <w:i/>
          <w:iCs/>
          <w:sz w:val="22"/>
          <w:szCs w:val="22"/>
          <w:lang w:eastAsia="el-GR"/>
        </w:rPr>
        <w:t>Υγειονομικοί όροι και προϋποθέσεις λειτουργίας επιχειρήσεων τροφίμων/ποτών και άλλες διατάξεις</w:t>
      </w:r>
      <w:r>
        <w:rPr>
          <w:rFonts w:eastAsia="Times New Roman" w:cs="Calibri" w:cstheme="minorHAnsi"/>
          <w:sz w:val="22"/>
          <w:szCs w:val="22"/>
          <w:lang w:eastAsia="el-GR"/>
        </w:rPr>
        <w:t xml:space="preserve">», </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sz w:val="22"/>
          <w:szCs w:val="22"/>
          <w:lang w:eastAsia="el-GR"/>
        </w:rPr>
        <w:t>τον ν.4013/2011 «</w:t>
      </w:r>
      <w:r>
        <w:rPr>
          <w:rFonts w:eastAsia="Times New Roman" w:cs="Calibri" w:cstheme="minorHAnsi"/>
          <w:i/>
          <w:iCs/>
          <w:sz w:val="22"/>
          <w:szCs w:val="22"/>
          <w:lang w:eastAsia="el-GR"/>
        </w:rPr>
        <w:t>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Προπτωχευτική διαδικασία εξυγίανσης και άλλες διατάξεις</w:t>
      </w:r>
      <w:r>
        <w:rPr>
          <w:rFonts w:eastAsia="Times New Roman" w:cs="Calibri" w:cstheme="minorHAnsi"/>
          <w:sz w:val="22"/>
          <w:szCs w:val="22"/>
          <w:lang w:eastAsia="el-GR"/>
        </w:rPr>
        <w:t>»,</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bCs/>
          <w:sz w:val="22"/>
          <w:szCs w:val="22"/>
          <w:lang w:eastAsia="el-GR"/>
        </w:rPr>
        <w:t>το Π.Δ. 80/05.08.2016 (ΦΕΚ 145 Α΄) «</w:t>
      </w:r>
      <w:r>
        <w:rPr>
          <w:rFonts w:eastAsia="Times New Roman" w:cs="Calibri" w:cstheme="minorHAnsi"/>
          <w:bCs/>
          <w:i/>
          <w:iCs/>
          <w:sz w:val="22"/>
          <w:szCs w:val="22"/>
          <w:lang w:eastAsia="el-GR"/>
        </w:rPr>
        <w:t>Ανάληψη υποχρεώσεων από τους Διατάκτες</w:t>
      </w:r>
      <w:r>
        <w:rPr>
          <w:rFonts w:eastAsia="Times New Roman" w:cs="Calibri" w:cstheme="minorHAnsi"/>
          <w:bCs/>
          <w:sz w:val="22"/>
          <w:szCs w:val="22"/>
          <w:lang w:eastAsia="el-GR"/>
        </w:rPr>
        <w:t>»,</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bCs/>
          <w:sz w:val="22"/>
          <w:szCs w:val="22"/>
          <w:lang w:val="el-GR" w:eastAsia="el-GR"/>
        </w:rPr>
        <w:t xml:space="preserve">του π.δ. 39/2017 (Α’ 64) </w:t>
      </w:r>
      <w:r>
        <w:rPr>
          <w:rFonts w:eastAsia="Times New Roman" w:cs="Calibri" w:cstheme="minorHAnsi"/>
          <w:bCs/>
          <w:i/>
          <w:sz w:val="22"/>
          <w:szCs w:val="22"/>
          <w:lang w:val="el-GR" w:eastAsia="el-GR"/>
        </w:rPr>
        <w:t>«Κανονισμός εξέτασης προδικαστικών προσφυγών ενώπιων της Α.Ε.Π.Π»,</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bCs/>
          <w:i w:val="false"/>
          <w:iCs w:val="false"/>
          <w:sz w:val="22"/>
          <w:szCs w:val="22"/>
          <w:lang w:val="el-GR" w:eastAsia="el-GR"/>
        </w:rPr>
        <w:t>την υπ' αριθμ.76928/13.07.2021 Απόφαση των Υπουργών Ανάπτυξης και Επενδύσεων και Επικρατείας,</w:t>
      </w:r>
      <w:r>
        <w:rPr>
          <w:rFonts w:eastAsia="Times New Roman" w:cs="Calibri" w:cstheme="minorHAnsi"/>
          <w:bCs/>
          <w:i/>
          <w:sz w:val="22"/>
          <w:szCs w:val="22"/>
          <w:lang w:val="el-GR" w:eastAsia="el-GR"/>
        </w:rPr>
        <w:t>: “Ρύθμιση ειδικότερων θεμάτων λειτουργίας και διαχείρισης του Κεντρικού Ηλεκτρονικού Μητρώου Δημοσίων Συμβάσεων (ΚΗΜΔΗΣ)” (Β’ 3075),</w:t>
      </w:r>
    </w:p>
    <w:p>
      <w:pPr>
        <w:pStyle w:val="Normal"/>
        <w:numPr>
          <w:ilvl w:val="0"/>
          <w:numId w:val="3"/>
        </w:numPr>
        <w:spacing w:lineRule="atLeast" w:line="340" w:before="0" w:after="120"/>
        <w:ind w:hanging="284" w:left="284" w:right="40"/>
        <w:jc w:val="both"/>
        <w:rPr>
          <w:sz w:val="22"/>
          <w:szCs w:val="22"/>
        </w:rPr>
      </w:pPr>
      <w:r>
        <w:rPr>
          <w:rFonts w:eastAsia="Times New Roman" w:cs="Calibri" w:cstheme="minorHAnsi"/>
          <w:bCs/>
          <w:i w:val="false"/>
          <w:iCs w:val="false"/>
          <w:sz w:val="22"/>
          <w:szCs w:val="22"/>
          <w:lang w:val="el-GR" w:eastAsia="el-GR"/>
        </w:rPr>
        <w:t>τις διατάξεις του ν.4412/2016 (Φ.Ε.Κ. 147/Α/2016)</w:t>
      </w:r>
      <w:r>
        <w:rPr>
          <w:rFonts w:eastAsia="Times New Roman" w:cs="Calibri" w:cstheme="minorHAnsi"/>
          <w:bCs/>
          <w:i/>
          <w:sz w:val="22"/>
          <w:szCs w:val="22"/>
          <w:lang w:val="el-GR" w:eastAsia="el-GR"/>
        </w:rPr>
        <w:t>, «</w:t>
      </w:r>
      <w:r>
        <w:rPr>
          <w:rFonts w:eastAsia="Times New Roman" w:cs="Calibri" w:cstheme="minorHAnsi"/>
          <w:bCs/>
          <w:i/>
          <w:iCs/>
          <w:sz w:val="22"/>
          <w:szCs w:val="22"/>
          <w:lang w:val="el-GR" w:eastAsia="el-GR"/>
        </w:rPr>
        <w:t>Περί Δημοσίων Συμβάσεων Έργων, Προμηθειών και Υπηρεσιώ</w:t>
      </w:r>
      <w:r>
        <w:rPr>
          <w:rFonts w:eastAsia="Times New Roman" w:cs="Calibri" w:cstheme="minorHAnsi"/>
          <w:bCs/>
          <w:i/>
          <w:sz w:val="22"/>
          <w:szCs w:val="22"/>
          <w:lang w:val="el-GR" w:eastAsia="el-GR"/>
        </w:rPr>
        <w:t>ν», (προσαρμογή στις οδηγίες 2014/24/ΕΕ και 2014/25/ΕΕ), όπως τροποποιήθηκε και ισχύει.</w:t>
      </w:r>
    </w:p>
    <w:p>
      <w:pPr>
        <w:pStyle w:val="Normal"/>
        <w:spacing w:before="0" w:after="120"/>
        <w:jc w:val="both"/>
        <w:rPr>
          <w:sz w:val="22"/>
          <w:szCs w:val="22"/>
        </w:rPr>
      </w:pPr>
      <w:r>
        <w:rPr>
          <w:b/>
          <w:bCs/>
          <w:sz w:val="22"/>
          <w:szCs w:val="22"/>
        </w:rPr>
        <w:t>Τις αποφάσεις:</w:t>
      </w:r>
    </w:p>
    <w:p>
      <w:pPr>
        <w:pStyle w:val="Normal"/>
        <w:numPr>
          <w:ilvl w:val="0"/>
          <w:numId w:val="3"/>
        </w:numPr>
        <w:spacing w:before="0" w:after="120"/>
        <w:ind w:hanging="284" w:left="284"/>
        <w:jc w:val="both"/>
        <w:rPr>
          <w:sz w:val="22"/>
          <w:szCs w:val="22"/>
        </w:rPr>
      </w:pPr>
      <w:r>
        <w:rPr>
          <w:rFonts w:cs="Calibri" w:cstheme="minorHAnsi"/>
          <w:kern w:val="2"/>
          <w:sz w:val="22"/>
          <w:szCs w:val="22"/>
          <w:highlight w:val="white"/>
        </w:rPr>
        <w:t xml:space="preserve">της </w:t>
      </w:r>
      <w:r>
        <w:rPr>
          <w:rFonts w:cs="Calibri" w:cstheme="minorHAnsi"/>
          <w:color w:val="000000"/>
          <w:kern w:val="2"/>
          <w:sz w:val="22"/>
          <w:szCs w:val="22"/>
          <w:highlight w:val="white"/>
        </w:rPr>
        <w:t>υπ’ αριθμ. Γ4β</w:t>
      </w:r>
      <w:r>
        <w:rPr>
          <w:rFonts w:cs="Calibri" w:cstheme="minorHAnsi"/>
          <w:kern w:val="2"/>
          <w:sz w:val="22"/>
          <w:szCs w:val="22"/>
          <w:highlight w:val="white"/>
        </w:rPr>
        <w:t>/Γ.Π. οικ. 1994/23 (ΦΕΚ 36 /18.01.2023 τ. ΥΟΔΔ) Απόφασης του Υπουργείου Υγείας,  παράτασης θητείας  του Διοικητή του Νοσοκομείου Σερρών</w:t>
      </w:r>
      <w:r>
        <w:rPr>
          <w:rFonts w:cs="Calibri" w:cstheme="minorHAnsi"/>
          <w:kern w:val="2"/>
          <w:sz w:val="22"/>
          <w:szCs w:val="22"/>
        </w:rPr>
        <w:t>,</w:t>
      </w:r>
    </w:p>
    <w:p>
      <w:pPr>
        <w:pStyle w:val="Normal"/>
        <w:numPr>
          <w:ilvl w:val="0"/>
          <w:numId w:val="3"/>
        </w:numPr>
        <w:spacing w:before="0" w:after="120"/>
        <w:ind w:hanging="284" w:left="284"/>
        <w:jc w:val="both"/>
        <w:rPr>
          <w:sz w:val="22"/>
          <w:szCs w:val="22"/>
        </w:rPr>
      </w:pPr>
      <w:r>
        <w:rPr>
          <w:rFonts w:eastAsia="Calibri" w:cs="Calibri" w:cstheme="minorHAnsi"/>
          <w:sz w:val="22"/>
          <w:szCs w:val="22"/>
        </w:rPr>
        <w:t>της</w:t>
      </w:r>
      <w:r>
        <w:rPr>
          <w:rFonts w:cs="Calibri" w:cstheme="minorHAnsi"/>
          <w:kern w:val="2"/>
          <w:sz w:val="22"/>
          <w:szCs w:val="22"/>
        </w:rPr>
        <w:t xml:space="preserve"> υπ’ αριθμ</w:t>
      </w:r>
      <w:r>
        <w:rPr>
          <w:rFonts w:cs="Calibri"/>
          <w:kern w:val="2"/>
          <w:sz w:val="22"/>
          <w:szCs w:val="22"/>
          <w:shd w:fill="auto" w:val="clear"/>
        </w:rPr>
        <w:t>. 26</w:t>
      </w:r>
      <w:r>
        <w:rPr>
          <w:rFonts w:cs="Calibri"/>
          <w:kern w:val="2"/>
          <w:sz w:val="22"/>
          <w:szCs w:val="22"/>
          <w:shd w:fill="auto" w:val="clear"/>
          <w:vertAlign w:val="superscript"/>
        </w:rPr>
        <w:t>ης</w:t>
      </w:r>
      <w:r>
        <w:rPr>
          <w:rFonts w:cs="Calibri"/>
          <w:kern w:val="2"/>
          <w:sz w:val="22"/>
          <w:szCs w:val="22"/>
          <w:shd w:fill="auto" w:val="clear"/>
        </w:rPr>
        <w:t xml:space="preserve"> /25-11-2024 (θέμα 16</w:t>
      </w:r>
      <w:r>
        <w:rPr>
          <w:rFonts w:cs="Calibri"/>
          <w:kern w:val="2"/>
          <w:sz w:val="22"/>
          <w:szCs w:val="22"/>
          <w:shd w:fill="auto" w:val="clear"/>
          <w:vertAlign w:val="superscript"/>
        </w:rPr>
        <w:t>ο</w:t>
      </w:r>
      <w:r>
        <w:rPr>
          <w:rFonts w:cs="Calibri"/>
          <w:kern w:val="2"/>
          <w:sz w:val="22"/>
          <w:szCs w:val="22"/>
          <w:shd w:fill="auto" w:val="clear"/>
        </w:rPr>
        <w:t xml:space="preserve"> οικον.) ΑΔΑ: 9ΛΨΩ469071-2ΣΒ</w:t>
      </w:r>
      <w:r>
        <w:rPr>
          <w:rFonts w:eastAsia="Calibri" w:cs="Calibri" w:eastAsiaTheme="minorHAnsi"/>
          <w:kern w:val="2"/>
          <w:sz w:val="22"/>
          <w:szCs w:val="22"/>
          <w:shd w:fill="auto" w:val="clear"/>
        </w:rPr>
        <w:t xml:space="preserve"> α</w:t>
      </w:r>
      <w:r>
        <w:rPr>
          <w:rFonts w:cs="Calibri"/>
          <w:bCs/>
          <w:kern w:val="2"/>
          <w:sz w:val="22"/>
          <w:szCs w:val="22"/>
          <w:shd w:fill="auto" w:val="clear"/>
          <w:lang w:eastAsia="el-GR" w:bidi="hi-IN"/>
        </w:rPr>
        <w:t>πόφασης</w:t>
      </w:r>
      <w:r>
        <w:rPr>
          <w:rFonts w:cs="Calibri"/>
          <w:sz w:val="22"/>
          <w:szCs w:val="22"/>
          <w:shd w:fill="auto" w:val="clear"/>
        </w:rPr>
        <w:t xml:space="preserve"> Δ.Σ </w:t>
      </w:r>
      <w:r>
        <w:rPr>
          <w:rFonts w:cs="Calibri"/>
          <w:bCs/>
          <w:kern w:val="2"/>
          <w:sz w:val="22"/>
          <w:szCs w:val="22"/>
          <w:shd w:fill="auto" w:val="clear"/>
          <w:lang w:eastAsia="el-GR" w:bidi="hi-IN"/>
        </w:rPr>
        <w:t xml:space="preserve">  Γ.Ν.Σερρών  </w:t>
      </w:r>
      <w:r>
        <w:rPr>
          <w:rFonts w:eastAsia="Times New Roman" w:cs="Calibri"/>
          <w:sz w:val="22"/>
          <w:szCs w:val="22"/>
          <w:shd w:fill="auto" w:val="clear"/>
          <w:lang w:eastAsia="el-GR"/>
        </w:rPr>
        <w:t xml:space="preserve">« </w:t>
      </w:r>
      <w:r>
        <w:rPr>
          <w:rFonts w:eastAsia="Times New Roman" w:cs="Arial"/>
          <w:b/>
          <w:bCs/>
          <w:sz w:val="22"/>
          <w:szCs w:val="22"/>
          <w:shd w:fill="auto" w:val="clear"/>
          <w:lang w:eastAsia="el-GR"/>
        </w:rPr>
        <w:t>1.</w:t>
      </w:r>
      <w:r>
        <w:rPr>
          <w:rFonts w:eastAsia="Times New Roman" w:cs="Arial"/>
          <w:sz w:val="22"/>
          <w:szCs w:val="22"/>
          <w:shd w:fill="auto" w:val="clear"/>
          <w:lang w:eastAsia="el-GR"/>
        </w:rPr>
        <w:t xml:space="preserve"> </w:t>
      </w:r>
      <w:r>
        <w:rPr>
          <w:rFonts w:eastAsia="Times New Roman" w:cs="Arial"/>
          <w:color w:val="000000"/>
          <w:sz w:val="22"/>
          <w:szCs w:val="22"/>
          <w:shd w:fill="auto" w:val="clear"/>
          <w:lang w:eastAsia="el-GR"/>
        </w:rPr>
        <w:t xml:space="preserve">την έγκριση του από 22-11-2024 πρακτικού σύνταξης τεχνικών προδιαγραφών </w:t>
      </w:r>
      <w:r>
        <w:rPr>
          <w:rFonts w:eastAsia="Times New Roman" w:cs="Calibri"/>
          <w:iCs/>
          <w:color w:val="000000"/>
          <w:kern w:val="2"/>
          <w:sz w:val="22"/>
          <w:szCs w:val="22"/>
          <w:shd w:fill="auto" w:val="clear"/>
          <w:lang w:eastAsia="el-GR"/>
        </w:rPr>
        <w:t>γι</w:t>
      </w:r>
      <w:r>
        <w:rPr>
          <w:rFonts w:eastAsia="Times New Roman" w:cs="Calibri"/>
          <w:iCs/>
          <w:color w:val="000000"/>
          <w:kern w:val="2"/>
          <w:sz w:val="22"/>
          <w:szCs w:val="22"/>
          <w:highlight w:val="white"/>
          <w:shd w:fill="FFFF00" w:val="clear"/>
          <w:lang w:eastAsia="el-GR"/>
        </w:rPr>
        <w:t xml:space="preserve">α την </w:t>
      </w:r>
      <w:r>
        <w:rPr>
          <w:rFonts w:eastAsia="Times New Roman" w:cs="Times New Roman"/>
          <w:iCs/>
          <w:color w:val="000000"/>
          <w:kern w:val="2"/>
          <w:sz w:val="22"/>
          <w:szCs w:val="22"/>
          <w:highlight w:val="white"/>
          <w:shd w:fill="FFFF00" w:val="clear"/>
          <w:lang w:eastAsia="el-GR"/>
        </w:rPr>
        <w:t>τοποθέτηση «ΑΥΤΟΜΑΤΩΝ ΠΩΛΗΤΩΝ ΕΜΦΙΑΛΩΜΕΝΟΥ ΝΕΡΟΥ, ΡΟΦΗΜΑΤΩΝ, ΑΝΑΨΥΚΤΙΚΩΝ ΚΑΙ ΠΡΟΧΕΙΡΗΣ ΤΡΟΦΗΣ (</w:t>
      </w:r>
      <w:r>
        <w:rPr>
          <w:rFonts w:eastAsia="Times New Roman" w:cs="Times New Roman"/>
          <w:iCs/>
          <w:color w:val="000000"/>
          <w:kern w:val="2"/>
          <w:sz w:val="22"/>
          <w:szCs w:val="22"/>
          <w:highlight w:val="white"/>
          <w:shd w:fill="FFFF00" w:val="clear"/>
          <w:lang w:val="en-US" w:eastAsia="el-GR"/>
        </w:rPr>
        <w:t>SNACK</w:t>
      </w:r>
      <w:r>
        <w:rPr>
          <w:rFonts w:eastAsia="Times New Roman" w:cs="Times New Roman"/>
          <w:iCs/>
          <w:color w:val="000000"/>
          <w:kern w:val="2"/>
          <w:sz w:val="22"/>
          <w:szCs w:val="22"/>
          <w:highlight w:val="white"/>
          <w:shd w:fill="FFFF00" w:val="clear"/>
          <w:lang w:eastAsia="el-GR"/>
        </w:rPr>
        <w:t>)</w:t>
      </w:r>
      <w:r>
        <w:rPr>
          <w:rFonts w:eastAsia="Times New Roman" w:cs="Calibri"/>
          <w:iCs/>
          <w:color w:val="000000"/>
          <w:kern w:val="2"/>
          <w:sz w:val="22"/>
          <w:szCs w:val="22"/>
          <w:highlight w:val="white"/>
          <w:shd w:fill="FFFF00" w:val="clear"/>
          <w:lang w:eastAsia="el-GR"/>
        </w:rPr>
        <w:t xml:space="preserve"> ΣΤΟΥΣ ΧΩΡΟΥΣ ΤΟΥ Γ.Ν. ΣΕΡΡΩΝ</w:t>
      </w:r>
      <w:r>
        <w:rPr>
          <w:rFonts w:eastAsia="Times New Roman" w:cs="Times New Roman"/>
          <w:iCs/>
          <w:color w:val="000000"/>
          <w:kern w:val="2"/>
          <w:sz w:val="22"/>
          <w:szCs w:val="22"/>
          <w:highlight w:val="white"/>
          <w:shd w:fill="FFFF00" w:val="clear"/>
          <w:lang w:eastAsia="el-GR"/>
        </w:rPr>
        <w:t xml:space="preserve">» </w:t>
      </w:r>
      <w:r>
        <w:rPr>
          <w:rFonts w:eastAsia="Times New Roman" w:cs="Times New Roman"/>
          <w:iCs/>
          <w:color w:val="000000"/>
          <w:kern w:val="2"/>
          <w:sz w:val="22"/>
          <w:szCs w:val="22"/>
          <w:highlight w:val="white"/>
          <w:shd w:fill="FFFF00" w:val="clear"/>
          <w:lang w:val="en-US" w:eastAsia="el-GR"/>
        </w:rPr>
        <w:t>CPV</w:t>
      </w:r>
      <w:r>
        <w:rPr>
          <w:rFonts w:eastAsia="Times New Roman" w:cs="Times New Roman"/>
          <w:iCs/>
          <w:color w:val="000000"/>
          <w:kern w:val="2"/>
          <w:sz w:val="22"/>
          <w:szCs w:val="22"/>
          <w:highlight w:val="white"/>
          <w:shd w:fill="FFFF00" w:val="clear"/>
          <w:lang w:eastAsia="el-GR"/>
        </w:rPr>
        <w:t xml:space="preserve"> </w:t>
      </w:r>
      <w:r>
        <w:rPr>
          <w:rFonts w:eastAsia="Times New Roman" w:cs="Calibri"/>
          <w:iCs/>
          <w:color w:val="000000"/>
          <w:kern w:val="2"/>
          <w:sz w:val="22"/>
          <w:szCs w:val="22"/>
          <w:highlight w:val="white"/>
          <w:shd w:fill="FFFF00" w:val="clear"/>
          <w:lang w:eastAsia="el-GR"/>
        </w:rPr>
        <w:t xml:space="preserve">15894500-6, </w:t>
      </w:r>
      <w:r>
        <w:rPr>
          <w:rFonts w:eastAsia="Times New Roman" w:cs="Calibri" w:cstheme="minorHAnsi"/>
          <w:iCs/>
          <w:color w:val="000000"/>
          <w:kern w:val="2"/>
          <w:sz w:val="22"/>
          <w:szCs w:val="22"/>
          <w:highlight w:val="white"/>
          <w:shd w:fill="FFFF00" w:val="clear"/>
          <w:lang w:eastAsia="el-GR"/>
        </w:rPr>
        <w:t xml:space="preserve">με </w:t>
      </w:r>
      <w:r>
        <w:rPr>
          <w:rFonts w:eastAsia="Times New Roman" w:cs="Calibri" w:cstheme="minorHAnsi"/>
          <w:iCs/>
          <w:kern w:val="2"/>
          <w:sz w:val="22"/>
          <w:szCs w:val="22"/>
          <w:highlight w:val="white"/>
          <w:shd w:fill="FFFF00" w:val="clear"/>
          <w:lang w:eastAsia="el-GR"/>
        </w:rPr>
        <w:t xml:space="preserve">γνώμονα </w:t>
      </w:r>
      <w:r>
        <w:rPr>
          <w:rFonts w:eastAsia="Calibri" w:cs="Calibri" w:cstheme="minorHAnsi"/>
          <w:iCs/>
          <w:kern w:val="2"/>
          <w:sz w:val="22"/>
          <w:szCs w:val="22"/>
          <w:highlight w:val="white"/>
          <w:shd w:fill="FFFF00" w:val="clear"/>
          <w:lang w:eastAsia="el-GR"/>
        </w:rPr>
        <w:t>την εξυπηρέτηση των ασθενών, των συνοδών και του προσωπικού του Γ.Ν. Σερρών.</w:t>
      </w:r>
    </w:p>
    <w:p>
      <w:pPr>
        <w:pStyle w:val="Normal"/>
        <w:numPr>
          <w:ilvl w:val="0"/>
          <w:numId w:val="0"/>
        </w:numPr>
        <w:spacing w:before="0" w:after="120"/>
        <w:ind w:hanging="0" w:left="284"/>
        <w:jc w:val="both"/>
        <w:rPr>
          <w:sz w:val="22"/>
          <w:szCs w:val="22"/>
        </w:rPr>
      </w:pPr>
      <w:r>
        <w:rPr>
          <w:rFonts w:eastAsia="Calibri" w:cs="Calibri" w:cstheme="minorHAnsi"/>
          <w:b/>
          <w:bCs/>
          <w:iCs/>
          <w:kern w:val="2"/>
          <w:sz w:val="22"/>
          <w:szCs w:val="22"/>
          <w:highlight w:val="white"/>
          <w:shd w:fill="FFFF00" w:val="clear"/>
          <w:lang w:eastAsia="el-GR"/>
        </w:rPr>
        <w:t xml:space="preserve">2. </w:t>
      </w:r>
      <w:r>
        <w:rPr>
          <w:rFonts w:eastAsia="Calibri" w:cs="Calibri" w:cstheme="minorHAnsi"/>
          <w:iCs/>
          <w:kern w:val="2"/>
          <w:sz w:val="22"/>
          <w:szCs w:val="22"/>
          <w:highlight w:val="white"/>
          <w:shd w:fill="FFFF00" w:val="clear"/>
          <w:lang w:eastAsia="el-GR"/>
        </w:rPr>
        <w:t xml:space="preserve">την έγκριση απευθείας ανάθεσης στον κ. Μίχο Νικόλαο και Σια Ε.Ε. </w:t>
      </w:r>
      <w:r>
        <w:rPr>
          <w:rFonts w:eastAsia="Times New Roman" w:cs="Calibri" w:cstheme="minorHAnsi"/>
          <w:iCs/>
          <w:kern w:val="2"/>
          <w:sz w:val="22"/>
          <w:szCs w:val="22"/>
          <w:highlight w:val="white"/>
          <w:shd w:fill="FFFF00" w:val="clear"/>
          <w:lang w:eastAsia="el-GR"/>
        </w:rPr>
        <w:t xml:space="preserve">για την </w:t>
      </w:r>
      <w:r>
        <w:rPr>
          <w:rFonts w:eastAsia="Times New Roman" w:cs="Times New Roman"/>
          <w:iCs/>
          <w:kern w:val="2"/>
          <w:sz w:val="22"/>
          <w:szCs w:val="22"/>
          <w:highlight w:val="white"/>
          <w:shd w:fill="FFFF00" w:val="clear"/>
          <w:lang w:eastAsia="el-GR"/>
        </w:rPr>
        <w:t>τοποθέτηση «ΟΚΤΩ ΑΥΤΟΜΑΤΩΝ ΠΩΛΗΤΩΝ ΡΟΦΗΜΑΤΩΝ, ΚΑΙ ΟΚΤΩ ΑΥΤΟΜΑΤΩΝ ΠΩΛΗΤΩΝ ΕΜΦΙΑΛΩΜΕΝΟΥ ΝΕΡΟΥ, ΑΝΑΨΥΚΤΙΚΩΝ, ΠΡΟΧΕΙΡΗΣ ΤΡΟΦΗΣ (</w:t>
      </w:r>
      <w:r>
        <w:rPr>
          <w:rFonts w:eastAsia="Times New Roman" w:cs="Times New Roman"/>
          <w:iCs/>
          <w:kern w:val="2"/>
          <w:sz w:val="22"/>
          <w:szCs w:val="22"/>
          <w:highlight w:val="white"/>
          <w:shd w:fill="FFFF00" w:val="clear"/>
          <w:lang w:val="en-US" w:eastAsia="el-GR"/>
        </w:rPr>
        <w:t>SNACK</w:t>
      </w:r>
      <w:r>
        <w:rPr>
          <w:rFonts w:eastAsia="Times New Roman" w:cs="Times New Roman"/>
          <w:iCs/>
          <w:kern w:val="2"/>
          <w:sz w:val="22"/>
          <w:szCs w:val="22"/>
          <w:highlight w:val="white"/>
          <w:shd w:fill="FFFF00" w:val="clear"/>
          <w:lang w:eastAsia="el-GR"/>
        </w:rPr>
        <w:t>)</w:t>
      </w:r>
      <w:r>
        <w:rPr>
          <w:rFonts w:eastAsia="Times New Roman" w:cs="Calibri" w:cstheme="minorHAnsi"/>
          <w:iCs/>
          <w:kern w:val="2"/>
          <w:sz w:val="22"/>
          <w:szCs w:val="22"/>
          <w:highlight w:val="white"/>
          <w:shd w:fill="FFFF00" w:val="clear"/>
          <w:lang w:eastAsia="el-GR"/>
        </w:rPr>
        <w:t xml:space="preserve"> ΣΤΟΥΣ ΧΩΡΟΥΣ ΤΟΥ Γ.Ν. ΣΕΡΡΩΝ</w:t>
      </w:r>
      <w:r>
        <w:rPr>
          <w:rFonts w:eastAsia="Times New Roman" w:cs="Times New Roman"/>
          <w:iCs/>
          <w:kern w:val="2"/>
          <w:sz w:val="22"/>
          <w:szCs w:val="22"/>
          <w:highlight w:val="white"/>
          <w:shd w:fill="FFFF00" w:val="clear"/>
          <w:lang w:eastAsia="el-GR"/>
        </w:rPr>
        <w:t xml:space="preserve">» </w:t>
      </w:r>
      <w:r>
        <w:rPr>
          <w:rFonts w:eastAsia="Times New Roman" w:cs="Times New Roman"/>
          <w:iCs/>
          <w:kern w:val="2"/>
          <w:sz w:val="22"/>
          <w:szCs w:val="22"/>
          <w:highlight w:val="white"/>
          <w:shd w:fill="FFFF00" w:val="clear"/>
          <w:lang w:val="en-US" w:eastAsia="el-GR"/>
        </w:rPr>
        <w:t>CPV</w:t>
      </w:r>
      <w:r>
        <w:rPr>
          <w:rFonts w:eastAsia="Times New Roman" w:cs="Times New Roman"/>
          <w:iCs/>
          <w:kern w:val="2"/>
          <w:sz w:val="22"/>
          <w:szCs w:val="22"/>
          <w:highlight w:val="white"/>
          <w:shd w:fill="FFFF00" w:val="clear"/>
          <w:lang w:eastAsia="el-GR"/>
        </w:rPr>
        <w:t xml:space="preserve"> </w:t>
      </w:r>
      <w:r>
        <w:rPr>
          <w:rFonts w:eastAsia="Times New Roman" w:cs="Calibri" w:cstheme="minorHAnsi"/>
          <w:iCs/>
          <w:kern w:val="2"/>
          <w:sz w:val="22"/>
          <w:szCs w:val="22"/>
          <w:highlight w:val="white"/>
          <w:shd w:fill="FFFF00" w:val="clear"/>
          <w:lang w:eastAsia="el-GR"/>
        </w:rPr>
        <w:t xml:space="preserve">15894500-6, με τιμή εκκίνησης 300€ και </w:t>
      </w:r>
      <w:r>
        <w:rPr>
          <w:rFonts w:eastAsia="Calibri" w:cs="Calibri" w:cstheme="minorHAnsi"/>
          <w:iCs/>
          <w:kern w:val="2"/>
          <w:sz w:val="22"/>
          <w:szCs w:val="22"/>
          <w:highlight w:val="white"/>
          <w:shd w:fill="FFFF00" w:val="clear"/>
          <w:lang w:eastAsia="el-GR"/>
        </w:rPr>
        <w:t>με την επισήμανση πως η εν λόγω σύμβαση θα πρέπει να μην έχει μεγάλη χρονική διάρκεια, να είναι δυνατόν να ανανεώνεται μετά την λήξη της αλλά και να παρέχεται η δυνατότητα στο Γ.Ν. Σερρών της καταγγελίας της χωρίς καταβολή αποζημίωσης στον αντισυμβαλλόμενο σε περίπτωση που συντρέξει σπουδαίος λόγος ήτοι η έκδοση δικαστικών αποφάσεων, αντίθετων με όσων έχουν ήδη εκδοθεί, ή εφόσον επιτραπεί η διενέργεια διαγωνισμού εκμίσθωσης του κυλικείου.</w:t>
      </w:r>
    </w:p>
    <w:p>
      <w:pPr>
        <w:pStyle w:val="Normal"/>
        <w:numPr>
          <w:ilvl w:val="0"/>
          <w:numId w:val="0"/>
        </w:numPr>
        <w:spacing w:before="0" w:after="120"/>
        <w:ind w:hanging="0" w:left="284"/>
        <w:jc w:val="both"/>
        <w:rPr>
          <w:sz w:val="22"/>
          <w:szCs w:val="22"/>
        </w:rPr>
      </w:pPr>
      <w:r>
        <w:rPr>
          <w:rFonts w:eastAsia="Calibri" w:cs="Calibri" w:cstheme="minorHAnsi"/>
          <w:iCs/>
          <w:kern w:val="2"/>
          <w:sz w:val="22"/>
          <w:szCs w:val="22"/>
          <w:highlight w:val="white"/>
          <w:shd w:fill="FFFF00" w:val="clear"/>
          <w:lang w:eastAsia="el-GR"/>
        </w:rPr>
        <w:t>Οι αυτόματοι πωλητές θα παραμείνουν στο χώρο του Γ.Ν. Σερρών μέχρι την ολοκλήρωση δημόσιου πλειοδοτικού διαγωνισμού εκμίσθωσης κυλικείου ή μέχρι την έκδοση τελεσίδικης απόφασης από το δικαστήρ</w:t>
      </w:r>
      <w:r>
        <w:rPr>
          <w:rFonts w:eastAsia="Calibri" w:cs="Calibri" w:eastAsiaTheme="minorHAnsi"/>
          <w:iCs/>
          <w:kern w:val="2"/>
          <w:sz w:val="22"/>
          <w:szCs w:val="22"/>
          <w:shd w:fill="auto" w:val="clear"/>
          <w:lang w:eastAsia="el-GR"/>
        </w:rPr>
        <w:t>ιο.</w:t>
      </w:r>
      <w:r>
        <w:rPr>
          <w:rFonts w:eastAsia="Calibri" w:cs="" w:cstheme="minorBidi" w:eastAsiaTheme="minorHAnsi"/>
          <w:sz w:val="22"/>
          <w:szCs w:val="22"/>
          <w:shd w:fill="auto" w:val="clear"/>
        </w:rPr>
        <w:t>»</w:t>
      </w:r>
    </w:p>
    <w:p>
      <w:pPr>
        <w:pStyle w:val="Normal"/>
        <w:spacing w:before="0" w:after="120"/>
        <w:jc w:val="both"/>
        <w:rPr>
          <w:sz w:val="22"/>
          <w:szCs w:val="22"/>
        </w:rPr>
      </w:pPr>
      <w:r>
        <w:rPr>
          <w:sz w:val="22"/>
          <w:szCs w:val="22"/>
        </w:rPr>
        <w:t>και 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w:t>
      </w:r>
    </w:p>
    <w:p>
      <w:pPr>
        <w:pStyle w:val="Normal"/>
        <w:spacing w:lineRule="auto" w:line="240"/>
        <w:rPr>
          <w:rFonts w:cs="Calibri" w:cstheme="minorHAnsi"/>
          <w:b/>
          <w:bCs/>
          <w:sz w:val="22"/>
          <w:szCs w:val="22"/>
        </w:rPr>
      </w:pPr>
      <w:r>
        <w:rPr>
          <w:rFonts w:cs="Calibri" w:cstheme="minorHAnsi"/>
          <w:b/>
          <w:bCs/>
          <w:sz w:val="22"/>
          <w:szCs w:val="22"/>
        </w:rPr>
      </w:r>
    </w:p>
    <w:p>
      <w:pPr>
        <w:pStyle w:val="Normal"/>
        <w:spacing w:lineRule="auto" w:line="240"/>
        <w:rPr>
          <w:rFonts w:cs="Calibri" w:cstheme="minorHAnsi"/>
          <w:b/>
          <w:bCs/>
          <w:sz w:val="22"/>
          <w:szCs w:val="22"/>
        </w:rPr>
      </w:pPr>
      <w:r>
        <w:rPr>
          <w:rFonts w:cs="Calibri" w:cstheme="minorHAnsi"/>
          <w:b/>
          <w:bCs/>
          <w:sz w:val="22"/>
          <w:szCs w:val="22"/>
        </w:rPr>
      </w:r>
    </w:p>
    <w:p>
      <w:pPr>
        <w:pStyle w:val="Normal"/>
        <w:spacing w:lineRule="auto" w:line="240"/>
        <w:rPr>
          <w:rFonts w:cs="Calibri" w:cstheme="minorHAnsi"/>
          <w:b/>
          <w:bCs/>
          <w:sz w:val="22"/>
          <w:szCs w:val="22"/>
        </w:rPr>
      </w:pPr>
      <w:r>
        <w:rPr>
          <w:rFonts w:cs="Calibri" w:cstheme="minorHAnsi"/>
          <w:b/>
          <w:bCs/>
          <w:sz w:val="22"/>
          <w:szCs w:val="22"/>
        </w:rPr>
      </w:r>
    </w:p>
    <w:p>
      <w:pPr>
        <w:pStyle w:val="Normal"/>
        <w:spacing w:lineRule="auto" w:line="240"/>
        <w:rPr>
          <w:rFonts w:cs="Calibri" w:cstheme="minorHAnsi"/>
          <w:b/>
          <w:bCs/>
          <w:sz w:val="22"/>
          <w:szCs w:val="22"/>
        </w:rPr>
      </w:pPr>
      <w:r>
        <w:rPr>
          <w:rFonts w:cs="Calibri" w:cstheme="minorHAnsi"/>
          <w:b/>
          <w:bCs/>
          <w:sz w:val="22"/>
          <w:szCs w:val="22"/>
        </w:rPr>
      </w:r>
    </w:p>
    <w:p>
      <w:pPr>
        <w:pStyle w:val="Normal"/>
        <w:spacing w:lineRule="auto" w:line="240"/>
        <w:rPr>
          <w:sz w:val="22"/>
          <w:szCs w:val="22"/>
        </w:rPr>
      </w:pPr>
      <w:r>
        <w:rPr>
          <w:rFonts w:cs="Calibri" w:cstheme="minorHAnsi"/>
          <w:b/>
          <w:bCs/>
          <w:sz w:val="22"/>
          <w:szCs w:val="22"/>
        </w:rPr>
        <w:t xml:space="preserve">                                                                                 </w:t>
      </w:r>
      <w:r>
        <w:rPr>
          <w:rFonts w:cs="Calibri" w:cstheme="minorHAnsi"/>
          <w:b/>
          <w:bCs/>
          <w:sz w:val="26"/>
          <w:szCs w:val="26"/>
        </w:rPr>
        <w:t xml:space="preserve">   </w:t>
      </w:r>
      <w:r>
        <w:rPr>
          <w:rFonts w:cs="Calibri" w:cstheme="minorHAnsi"/>
          <w:b/>
          <w:bCs/>
          <w:sz w:val="26"/>
          <w:szCs w:val="26"/>
        </w:rPr>
        <w:t xml:space="preserve">Π Ρ Ο Σ Κ Α Λ Ε Ι </w:t>
      </w:r>
    </w:p>
    <w:p>
      <w:pPr>
        <w:pStyle w:val="Normal"/>
        <w:spacing w:lineRule="auto" w:line="240"/>
        <w:rPr>
          <w:rFonts w:cs="Calibri" w:cstheme="minorHAnsi"/>
          <w:b/>
          <w:bCs/>
          <w:sz w:val="22"/>
          <w:szCs w:val="22"/>
        </w:rPr>
      </w:pPr>
      <w:r>
        <w:rPr>
          <w:rFonts w:cs="Calibri" w:cstheme="minorHAnsi"/>
          <w:b/>
          <w:bCs/>
          <w:sz w:val="22"/>
          <w:szCs w:val="22"/>
        </w:rPr>
      </w:r>
    </w:p>
    <w:p>
      <w:pPr>
        <w:pStyle w:val="Normal"/>
        <w:spacing w:lineRule="auto" w:line="240"/>
        <w:jc w:val="both"/>
        <w:rPr>
          <w:sz w:val="22"/>
          <w:szCs w:val="22"/>
        </w:rPr>
      </w:pPr>
      <w:r>
        <w:rPr>
          <w:rFonts w:cs="Calibri" w:cstheme="minorHAnsi"/>
          <w:b w:val="false"/>
          <w:bCs w:val="false"/>
          <w:sz w:val="22"/>
          <w:szCs w:val="22"/>
        </w:rPr>
        <w:t xml:space="preserve">την εταιρεία  «ΜΙΧΟΣ ΝΙΚΟΛΑΟΣ &amp; ΣΙΑ Ε.Ε. ΕΤΑΙΡΕΙΑ ΠΑΡΟΧΗΣ ΥΠΗΡΕΣΙΩΝ-ΕΚΜΕΤΑΛΛΕΥΣΗΣ ΚΥΛΙΚΕΙΩΝ» προκειμένου να καταθέσει οικονομική προσφορά με κριτήριο κατακύρωσης το υψηλότερο προσφερόμενο  μηνιαίο τίμημα ανά μηχάνημα,  </w:t>
      </w:r>
      <w:r>
        <w:rPr>
          <w:sz w:val="22"/>
          <w:szCs w:val="22"/>
        </w:rPr>
        <w:t xml:space="preserve">σύμφωνα με τους όρους και προδιαγραφές που περιγράφονται στην παρούσα πρόσκληση, για  </w:t>
      </w:r>
      <w:r>
        <w:rPr>
          <w:rFonts w:cs="Calibri" w:cstheme="minorHAnsi"/>
          <w:b w:val="false"/>
          <w:bCs w:val="false"/>
          <w:sz w:val="22"/>
          <w:szCs w:val="22"/>
        </w:rPr>
        <w:t xml:space="preserve">τη σύναψη σύμβασης για την τοποθέτηση </w:t>
      </w:r>
      <w:r>
        <w:rPr>
          <w:rFonts w:eastAsia="Times New Roman" w:cs="Times New Roman"/>
          <w:b w:val="false"/>
          <w:bCs w:val="false"/>
          <w:iCs/>
          <w:color w:val="000000"/>
          <w:kern w:val="2"/>
          <w:sz w:val="22"/>
          <w:szCs w:val="22"/>
          <w:highlight w:val="white"/>
          <w:u w:val="none"/>
          <w:lang w:val="el-GR" w:eastAsia="el-GR" w:bidi="ar-SA"/>
        </w:rPr>
        <w:t>«ΟΚΤΩ ΑΥΤΟΜΑΤΩΝ ΠΩΛΗΤΩΝ ΡΟΦΗΜΑΤΩΝ, ΚΑΙ ΟΚΤΩ ΑΥΤΟΜΑΤΩΝ ΠΩΛΗΤΩΝ ΕΜΦΙΑΛΩΜΕΝΟΥ ΝΕΡΟΥ, ΑΝΑΨΥΚΤΙΚΩΝ, ΠΡΟΧΕΙΡΗΣ ΤΡΟΦΗΣ (</w:t>
      </w:r>
      <w:r>
        <w:rPr>
          <w:rFonts w:eastAsia="Times New Roman" w:cs="Times New Roman"/>
          <w:b w:val="false"/>
          <w:bCs w:val="false"/>
          <w:iCs/>
          <w:color w:val="000000"/>
          <w:kern w:val="2"/>
          <w:sz w:val="22"/>
          <w:szCs w:val="22"/>
          <w:highlight w:val="white"/>
          <w:u w:val="none"/>
          <w:lang w:val="en-US" w:eastAsia="el-GR" w:bidi="ar-SA"/>
        </w:rPr>
        <w:t>SNACK</w:t>
      </w:r>
      <w:r>
        <w:rPr>
          <w:rFonts w:eastAsia="Times New Roman" w:cs="Times New Roman"/>
          <w:b w:val="false"/>
          <w:bCs w:val="false"/>
          <w:iCs/>
          <w:color w:val="000000"/>
          <w:kern w:val="2"/>
          <w:sz w:val="22"/>
          <w:szCs w:val="22"/>
          <w:highlight w:val="white"/>
          <w:u w:val="none"/>
          <w:lang w:val="el-GR" w:eastAsia="el-GR" w:bidi="ar-SA"/>
        </w:rPr>
        <w:t>)</w:t>
      </w:r>
      <w:r>
        <w:rPr>
          <w:rFonts w:eastAsia="Times New Roman" w:cs="Calibri"/>
          <w:b w:val="false"/>
          <w:bCs w:val="false"/>
          <w:iCs/>
          <w:color w:val="000000"/>
          <w:kern w:val="2"/>
          <w:sz w:val="22"/>
          <w:szCs w:val="22"/>
          <w:highlight w:val="white"/>
          <w:u w:val="none"/>
          <w:lang w:val="el-GR" w:eastAsia="el-GR" w:bidi="ar-SA"/>
        </w:rPr>
        <w:t xml:space="preserve"> ΣΤΟΥΣ ΧΩΡΟΥΣ ΤΟΥ Γ.Ν. ΣΕΡΡΩΝ</w:t>
      </w:r>
      <w:r>
        <w:rPr>
          <w:rFonts w:eastAsia="Times New Roman" w:cs="Times New Roman"/>
          <w:b w:val="false"/>
          <w:bCs w:val="false"/>
          <w:iCs/>
          <w:color w:val="000000"/>
          <w:kern w:val="2"/>
          <w:sz w:val="22"/>
          <w:szCs w:val="22"/>
          <w:highlight w:val="white"/>
          <w:u w:val="none"/>
          <w:lang w:val="el-GR" w:eastAsia="el-GR" w:bidi="ar-SA"/>
        </w:rPr>
        <w:t>»</w:t>
      </w:r>
      <w:r>
        <w:rPr>
          <w:rFonts w:eastAsia="Times New Roman" w:cs="Times New Roman"/>
          <w:b w:val="false"/>
          <w:bCs w:val="false"/>
          <w:iCs/>
          <w:color w:val="000000"/>
          <w:kern w:val="2"/>
          <w:sz w:val="22"/>
          <w:szCs w:val="22"/>
          <w:highlight w:val="white"/>
          <w:u w:val="none"/>
          <w:lang w:val="en-US" w:eastAsia="el-GR" w:bidi="ar-SA"/>
        </w:rPr>
        <w:t xml:space="preserve">CPV </w:t>
      </w:r>
      <w:r>
        <w:rPr>
          <w:rFonts w:eastAsia="Times New Roman" w:cs="Calibri"/>
          <w:b w:val="false"/>
          <w:bCs w:val="false"/>
          <w:i w:val="false"/>
          <w:iCs/>
          <w:caps w:val="false"/>
          <w:smallCaps w:val="false"/>
          <w:color w:val="auto"/>
          <w:spacing w:val="0"/>
          <w:kern w:val="2"/>
          <w:sz w:val="22"/>
          <w:szCs w:val="22"/>
          <w:highlight w:val="white"/>
          <w:u w:val="none"/>
          <w:lang w:val="en-US" w:eastAsia="el-GR" w:bidi="ar-SA"/>
        </w:rPr>
        <w:t>15894500-6</w:t>
      </w:r>
      <w:r>
        <w:rPr>
          <w:rFonts w:eastAsia="Times New Roman" w:cs="Calibri" w:cstheme="minorHAnsi"/>
          <w:b w:val="false"/>
          <w:bCs w:val="false"/>
          <w:iCs/>
          <w:color w:val="000000"/>
          <w:kern w:val="2"/>
          <w:sz w:val="22"/>
          <w:szCs w:val="22"/>
          <w:highlight w:val="white"/>
          <w:u w:val="none"/>
          <w:lang w:val="el-GR" w:eastAsia="el-GR" w:bidi="ar-SA"/>
        </w:rPr>
        <w:t xml:space="preserve"> </w:t>
      </w:r>
      <w:r>
        <w:rPr>
          <w:rFonts w:cs="Calibri" w:cstheme="minorHAnsi"/>
          <w:b w:val="false"/>
          <w:bCs w:val="false"/>
          <w:sz w:val="22"/>
          <w:szCs w:val="22"/>
        </w:rPr>
        <w:t xml:space="preserve"> σύμφωνα με την αριθμ</w:t>
      </w:r>
      <w:r>
        <w:rPr>
          <w:rFonts w:cs="Calibri" w:cstheme="minorHAnsi"/>
          <w:b w:val="false"/>
          <w:bCs w:val="false"/>
          <w:sz w:val="22"/>
          <w:szCs w:val="22"/>
          <w:shd w:fill="auto" w:val="clear"/>
        </w:rPr>
        <w:t xml:space="preserve">.26ης /25-11-2024 (θέμα 16ο οικονομικό ) ΑΔΑ: </w:t>
      </w:r>
      <w:r>
        <w:rPr>
          <w:rFonts w:cs="Calibri"/>
          <w:b w:val="false"/>
          <w:bCs w:val="false"/>
          <w:kern w:val="2"/>
          <w:sz w:val="22"/>
          <w:szCs w:val="22"/>
          <w:shd w:fill="auto" w:val="clear"/>
        </w:rPr>
        <w:t>9ΛΨΩ469071-2ΣΒ</w:t>
      </w:r>
      <w:r>
        <w:rPr>
          <w:rFonts w:cs="Calibri" w:cstheme="minorHAnsi"/>
          <w:b w:val="false"/>
          <w:bCs w:val="false"/>
          <w:sz w:val="22"/>
          <w:szCs w:val="22"/>
          <w:shd w:fill="auto" w:val="clear"/>
        </w:rPr>
        <w:t xml:space="preserve"> απόφαση Δ.Σ.</w:t>
      </w:r>
      <w:r>
        <w:rPr>
          <w:rFonts w:cs="Calibri" w:cstheme="minorHAnsi"/>
          <w:b w:val="false"/>
          <w:bCs w:val="false"/>
          <w:sz w:val="22"/>
          <w:szCs w:val="22"/>
        </w:rPr>
        <w:t xml:space="preserve"> του Γ.Ν.Σερρών.Το ελάχιστο προσφερόμενο μηνιαίο μίσθωμα ανά μηχάνημα ορίζεται στο ποσό των 300€.</w:t>
      </w:r>
    </w:p>
    <w:p>
      <w:pPr>
        <w:pStyle w:val="Normal"/>
        <w:spacing w:lineRule="auto" w:line="240"/>
        <w:rPr>
          <w:rFonts w:cs="Calibri" w:cstheme="minorHAnsi"/>
          <w:b/>
          <w:bCs/>
          <w:sz w:val="22"/>
          <w:szCs w:val="22"/>
        </w:rPr>
      </w:pPr>
      <w:r>
        <w:rPr>
          <w:rFonts w:cs="Calibri" w:cstheme="minorHAnsi"/>
          <w:b/>
          <w:bCs/>
          <w:sz w:val="22"/>
          <w:szCs w:val="22"/>
        </w:rPr>
      </w:r>
    </w:p>
    <w:p>
      <w:pPr>
        <w:pStyle w:val="Normal"/>
        <w:spacing w:lineRule="auto" w:line="240"/>
        <w:rPr>
          <w:sz w:val="22"/>
          <w:szCs w:val="22"/>
        </w:rPr>
      </w:pPr>
      <w:r>
        <w:rPr>
          <w:rFonts w:cs="Calibri" w:cstheme="minorHAnsi"/>
          <w:b/>
          <w:bCs/>
          <w:sz w:val="22"/>
          <w:szCs w:val="22"/>
        </w:rPr>
        <w:t xml:space="preserve">1. Αντικείμενο </w:t>
      </w:r>
      <w:r>
        <w:rPr>
          <w:rFonts w:cs="Calibri" w:cstheme="minorHAnsi"/>
          <w:b/>
          <w:color w:val="000000"/>
          <w:sz w:val="22"/>
          <w:szCs w:val="22"/>
        </w:rPr>
        <w:t xml:space="preserve">σύμβασης </w:t>
      </w:r>
    </w:p>
    <w:p>
      <w:pPr>
        <w:pStyle w:val="Normal"/>
        <w:spacing w:lineRule="auto" w:line="240" w:before="0" w:after="0"/>
        <w:jc w:val="both"/>
        <w:rPr>
          <w:sz w:val="22"/>
          <w:szCs w:val="22"/>
        </w:rPr>
      </w:pPr>
      <w:r>
        <w:rPr>
          <w:rFonts w:cs="Calibri" w:cstheme="minorHAnsi"/>
          <w:b/>
          <w:sz w:val="22"/>
          <w:szCs w:val="22"/>
          <w:u w:val="single"/>
        </w:rPr>
        <w:t xml:space="preserve">1.1. Αντικείμενο </w:t>
      </w:r>
      <w:r>
        <w:rPr>
          <w:rFonts w:cs="Calibri" w:cstheme="minorHAnsi"/>
          <w:b/>
          <w:color w:val="000000"/>
          <w:sz w:val="22"/>
          <w:szCs w:val="22"/>
          <w:u w:val="single"/>
        </w:rPr>
        <w:t>της σύμβασης</w:t>
      </w:r>
    </w:p>
    <w:p>
      <w:pPr>
        <w:pStyle w:val="Normal"/>
        <w:spacing w:lineRule="auto" w:line="240" w:before="0" w:after="0"/>
        <w:jc w:val="both"/>
        <w:rPr>
          <w:rFonts w:cs="Calibri" w:cstheme="minorHAnsi"/>
          <w:b/>
          <w:sz w:val="22"/>
          <w:szCs w:val="22"/>
          <w:u w:val="single"/>
        </w:rPr>
      </w:pPr>
      <w:r>
        <w:rPr>
          <w:rFonts w:cs="Calibri" w:cstheme="minorHAnsi"/>
          <w:b/>
          <w:sz w:val="22"/>
          <w:szCs w:val="22"/>
          <w:u w:val="single"/>
        </w:rPr>
      </w:r>
    </w:p>
    <w:p>
      <w:pPr>
        <w:pStyle w:val="Normal"/>
        <w:widowControl w:val="false"/>
        <w:spacing w:lineRule="atLeast" w:line="340" w:before="0" w:after="120"/>
        <w:jc w:val="both"/>
        <w:rPr>
          <w:sz w:val="22"/>
          <w:szCs w:val="22"/>
        </w:rPr>
      </w:pPr>
      <w:r>
        <w:rPr>
          <w:rFonts w:cs="Calibri" w:cstheme="minorHAnsi"/>
          <w:b w:val="false"/>
          <w:bCs w:val="false"/>
          <w:color w:val="000000"/>
          <w:sz w:val="22"/>
          <w:szCs w:val="22"/>
        </w:rPr>
        <w:t>Αντικείμενο της σύμβασης είναι η τ</w:t>
      </w:r>
      <w:r>
        <w:rPr>
          <w:rFonts w:eastAsia="Times New Roman" w:cs="Calibri" w:cstheme="minorHAnsi"/>
          <w:b w:val="false"/>
          <w:bCs w:val="false"/>
          <w:color w:val="000000"/>
          <w:sz w:val="22"/>
          <w:szCs w:val="22"/>
          <w:lang w:eastAsia="el-GR"/>
        </w:rPr>
        <w:t xml:space="preserve">οποθέτηση </w:t>
      </w:r>
      <w:r>
        <w:rPr>
          <w:rFonts w:eastAsia="Times New Roman" w:cs="Times New Roman"/>
          <w:b w:val="false"/>
          <w:bCs w:val="false"/>
          <w:iCs/>
          <w:color w:val="000000"/>
          <w:kern w:val="2"/>
          <w:sz w:val="22"/>
          <w:szCs w:val="22"/>
          <w:highlight w:val="white"/>
          <w:u w:val="none"/>
          <w:lang w:val="el-GR" w:eastAsia="el-GR" w:bidi="ar-SA"/>
        </w:rPr>
        <w:t>«ΟΚΤΩ ΑΥΤΟΜΑΤΩΝ ΠΩΛΗΤΩΝ ΡΟΦΗΜΑΤΩΝ, ΚΑΙ ΟΚΤΩ ΑΥΤΟΜΑΤΩΝ ΠΩΛΗΤΩΝ ΕΜΦΙΑΛΩΜΕΝΟΥ ΝΕΡΟΥ, ΑΝΑΨΥΚΤΙΚΩΝ, ΠΡΟΧΕΙΡΗΣ ΤΡΟΦΗΣ (</w:t>
      </w:r>
      <w:r>
        <w:rPr>
          <w:rFonts w:eastAsia="Times New Roman" w:cs="Times New Roman"/>
          <w:b w:val="false"/>
          <w:bCs w:val="false"/>
          <w:iCs/>
          <w:color w:val="000000"/>
          <w:kern w:val="2"/>
          <w:sz w:val="22"/>
          <w:szCs w:val="22"/>
          <w:highlight w:val="white"/>
          <w:u w:val="none"/>
          <w:lang w:val="en-US" w:eastAsia="el-GR" w:bidi="ar-SA"/>
        </w:rPr>
        <w:t>SNACK</w:t>
      </w:r>
      <w:r>
        <w:rPr>
          <w:rFonts w:eastAsia="Times New Roman" w:cs="Times New Roman"/>
          <w:b w:val="false"/>
          <w:bCs w:val="false"/>
          <w:iCs/>
          <w:color w:val="000000"/>
          <w:kern w:val="2"/>
          <w:sz w:val="22"/>
          <w:szCs w:val="22"/>
          <w:highlight w:val="white"/>
          <w:u w:val="none"/>
          <w:lang w:val="el-GR" w:eastAsia="el-GR" w:bidi="ar-SA"/>
        </w:rPr>
        <w:t>)</w:t>
      </w:r>
      <w:r>
        <w:rPr>
          <w:rFonts w:eastAsia="Times New Roman" w:cs="Calibri"/>
          <w:b w:val="false"/>
          <w:bCs w:val="false"/>
          <w:iCs/>
          <w:color w:val="000000"/>
          <w:kern w:val="2"/>
          <w:sz w:val="22"/>
          <w:szCs w:val="22"/>
          <w:highlight w:val="white"/>
          <w:u w:val="none"/>
          <w:lang w:val="el-GR" w:eastAsia="el-GR" w:bidi="ar-SA"/>
        </w:rPr>
        <w:t xml:space="preserve"> ΣΤΟΥΣ ΧΩΡΟΥΣ ΤΟΥ Γ.Ν. ΣΕΡΡΩΝ</w:t>
      </w:r>
      <w:r>
        <w:rPr>
          <w:rFonts w:eastAsia="Times New Roman" w:cs="Times New Roman"/>
          <w:b w:val="false"/>
          <w:bCs w:val="false"/>
          <w:iCs/>
          <w:color w:val="000000"/>
          <w:kern w:val="2"/>
          <w:sz w:val="22"/>
          <w:szCs w:val="22"/>
          <w:highlight w:val="white"/>
          <w:u w:val="none"/>
          <w:lang w:val="el-GR" w:eastAsia="el-GR" w:bidi="ar-SA"/>
        </w:rPr>
        <w:t xml:space="preserve">» </w:t>
      </w:r>
      <w:r>
        <w:rPr>
          <w:rFonts w:eastAsia="Times New Roman" w:cs="Times New Roman"/>
          <w:b w:val="false"/>
          <w:bCs w:val="false"/>
          <w:iCs/>
          <w:color w:val="000000"/>
          <w:kern w:val="2"/>
          <w:sz w:val="22"/>
          <w:szCs w:val="22"/>
          <w:highlight w:val="white"/>
          <w:u w:val="none"/>
          <w:lang w:val="en-US" w:eastAsia="el-GR" w:bidi="ar-SA"/>
        </w:rPr>
        <w:t xml:space="preserve">CPV </w:t>
      </w:r>
      <w:r>
        <w:rPr>
          <w:rFonts w:eastAsia="Times New Roman" w:cs="Calibri"/>
          <w:b w:val="false"/>
          <w:bCs w:val="false"/>
          <w:i w:val="false"/>
          <w:iCs/>
          <w:caps w:val="false"/>
          <w:smallCaps w:val="false"/>
          <w:color w:val="auto"/>
          <w:spacing w:val="0"/>
          <w:kern w:val="2"/>
          <w:sz w:val="22"/>
          <w:szCs w:val="22"/>
          <w:highlight w:val="white"/>
          <w:u w:val="none"/>
          <w:lang w:val="en-US" w:eastAsia="el-GR" w:bidi="ar-SA"/>
        </w:rPr>
        <w:t>15894500-6</w:t>
      </w:r>
      <w:r>
        <w:rPr>
          <w:rFonts w:eastAsia="Times New Roman" w:cs="Calibri" w:cstheme="minorHAnsi"/>
          <w:b w:val="false"/>
          <w:bCs w:val="false"/>
          <w:sz w:val="22"/>
          <w:szCs w:val="22"/>
          <w:lang w:eastAsia="el-GR"/>
        </w:rPr>
        <w:t xml:space="preserve">,  με πρόσκληση </w:t>
      </w:r>
      <w:r>
        <w:rPr>
          <w:rFonts w:eastAsia="Times New Roman" w:cs="Calibri" w:cstheme="minorHAnsi"/>
          <w:b w:val="false"/>
          <w:bCs w:val="false"/>
          <w:sz w:val="22"/>
          <w:szCs w:val="22"/>
          <w:lang w:eastAsia="el-GR"/>
        </w:rPr>
        <w:t xml:space="preserve">υποβολής </w:t>
      </w:r>
      <w:r>
        <w:rPr>
          <w:rFonts w:eastAsia="Times New Roman" w:cs="Calibri" w:cstheme="minorHAnsi"/>
          <w:b w:val="false"/>
          <w:bCs w:val="false"/>
          <w:sz w:val="22"/>
          <w:szCs w:val="22"/>
          <w:lang w:eastAsia="el-GR"/>
        </w:rPr>
        <w:t>πλειοδοτικής προσφοράς στην  εταιρεία  ΜΙΧΟΣ ΝΙΚΟΛΑΟΣ &amp; ΣΙΑ Ε.Ε. ΕΤΑΙΡΕΙΑ ΠΑΡΟΧΗΣ ΥΠΗΡΕΣΙΩΝ-ΕΚΜΕΤΑΛΛΕΥΣΗΣ ΚΥΛΙΚΕΙΩΝ</w:t>
      </w:r>
    </w:p>
    <w:p>
      <w:pPr>
        <w:pStyle w:val="Normal"/>
        <w:tabs>
          <w:tab w:val="clear" w:pos="720"/>
          <w:tab w:val="left" w:pos="540" w:leader="none"/>
        </w:tabs>
        <w:spacing w:lineRule="atLeast" w:line="340" w:before="0" w:after="120"/>
        <w:ind w:right="40"/>
        <w:jc w:val="both"/>
        <w:rPr>
          <w:rFonts w:eastAsia="Times New Roman" w:cs="Calibri" w:cstheme="minorHAnsi"/>
          <w:sz w:val="22"/>
          <w:szCs w:val="22"/>
          <w:lang w:eastAsia="el-GR"/>
        </w:rPr>
      </w:pPr>
      <w:r>
        <w:rPr>
          <w:rFonts w:eastAsia="Times New Roman" w:cs="Calibri" w:cstheme="minorHAnsi"/>
          <w:sz w:val="22"/>
          <w:szCs w:val="22"/>
          <w:lang w:eastAsia="el-GR"/>
        </w:rPr>
      </w:r>
    </w:p>
    <w:p>
      <w:pPr>
        <w:pStyle w:val="Normal"/>
        <w:spacing w:lineRule="auto" w:line="240" w:before="0" w:after="0"/>
        <w:jc w:val="both"/>
        <w:rPr>
          <w:sz w:val="22"/>
          <w:szCs w:val="22"/>
        </w:rPr>
      </w:pPr>
      <w:r>
        <w:rPr>
          <w:rFonts w:cs="Calibri" w:cstheme="minorHAnsi"/>
          <w:b/>
          <w:sz w:val="22"/>
          <w:szCs w:val="22"/>
          <w:u w:val="single"/>
        </w:rPr>
        <w:t>1.2. Τεχνικές απαιτήσεις</w:t>
      </w:r>
    </w:p>
    <w:p>
      <w:pPr>
        <w:pStyle w:val="Normal"/>
        <w:jc w:val="both"/>
        <w:rPr>
          <w:sz w:val="22"/>
          <w:szCs w:val="22"/>
        </w:rPr>
      </w:pPr>
      <w:r>
        <w:rPr>
          <w:rFonts w:cs="Calibri" w:cstheme="minorHAnsi"/>
          <w:b w:val="false"/>
          <w:bCs w:val="false"/>
          <w:sz w:val="22"/>
          <w:szCs w:val="22"/>
        </w:rPr>
        <w:t xml:space="preserve">Αναλυτική περιγραφή των τεχνικών προδιαγραφών για την τοποθέτηση </w:t>
      </w:r>
      <w:r>
        <w:rPr>
          <w:rFonts w:eastAsia="Times New Roman" w:cs="Times New Roman"/>
          <w:b w:val="false"/>
          <w:bCs w:val="false"/>
          <w:sz w:val="22"/>
          <w:szCs w:val="22"/>
          <w:u w:val="none"/>
        </w:rPr>
        <w:t>«</w:t>
      </w:r>
      <w:r>
        <w:rPr>
          <w:rFonts w:eastAsia="Times New Roman" w:cs="Times New Roman"/>
          <w:b w:val="false"/>
          <w:bCs w:val="false"/>
          <w:iCs/>
          <w:kern w:val="2"/>
          <w:sz w:val="22"/>
          <w:szCs w:val="22"/>
          <w:highlight w:val="white"/>
          <w:u w:val="none"/>
          <w:lang w:eastAsia="el-GR"/>
        </w:rPr>
        <w:t>ΟΚΤΩ ΑΥΤΟΜΑΤΩΝ ΠΩΛΗΤΩΝ ΡΟΦΗΜΑΤΩΝ, ΚΑΙ ΟΚΤΩ ΑΥΤΟΜΑΤΩΝ ΠΩΛΗΤΩΝ ΕΜΦΙΑΛΩΜΕΝΟΥ ΝΕΡΟΥ, ΑΝΑΨΥΚΤΙΚΩΝ, ΠΡΟΧΕΙΡΗΣ ΤΡΟΦΗΣ (</w:t>
      </w:r>
      <w:r>
        <w:rPr>
          <w:rFonts w:eastAsia="Times New Roman" w:cs="Times New Roman"/>
          <w:b w:val="false"/>
          <w:bCs w:val="false"/>
          <w:iCs/>
          <w:kern w:val="2"/>
          <w:sz w:val="22"/>
          <w:szCs w:val="22"/>
          <w:highlight w:val="white"/>
          <w:u w:val="none"/>
          <w:lang w:val="en-US" w:eastAsia="el-GR"/>
        </w:rPr>
        <w:t>SNACK</w:t>
      </w:r>
      <w:r>
        <w:rPr>
          <w:rFonts w:eastAsia="Times New Roman" w:cs="Times New Roman"/>
          <w:b w:val="false"/>
          <w:bCs w:val="false"/>
          <w:iCs/>
          <w:kern w:val="2"/>
          <w:sz w:val="22"/>
          <w:szCs w:val="22"/>
          <w:highlight w:val="white"/>
          <w:u w:val="none"/>
          <w:lang w:eastAsia="el-GR"/>
        </w:rPr>
        <w:t>)</w:t>
      </w:r>
      <w:r>
        <w:rPr>
          <w:rFonts w:eastAsia="Times New Roman" w:cs="Calibri"/>
          <w:b w:val="false"/>
          <w:bCs w:val="false"/>
          <w:iCs/>
          <w:kern w:val="2"/>
          <w:sz w:val="22"/>
          <w:szCs w:val="22"/>
          <w:highlight w:val="white"/>
          <w:u w:val="none"/>
          <w:lang w:eastAsia="el-GR"/>
        </w:rPr>
        <w:t xml:space="preserve"> ΣΤΟΥΣ ΧΩΡΟΥΣ ΤΟΥ Γ.Ν. ΣΕΡΡΩΝ</w:t>
      </w:r>
      <w:r>
        <w:rPr>
          <w:rFonts w:eastAsia="Times New Roman" w:cs="Times New Roman"/>
          <w:b w:val="false"/>
          <w:bCs w:val="false"/>
          <w:sz w:val="22"/>
          <w:szCs w:val="22"/>
          <w:u w:val="none"/>
        </w:rPr>
        <w:t xml:space="preserve">» </w:t>
      </w:r>
      <w:r>
        <w:rPr>
          <w:rFonts w:cs="Calibri" w:cstheme="minorHAnsi"/>
          <w:b w:val="false"/>
          <w:bCs w:val="false"/>
          <w:sz w:val="22"/>
          <w:szCs w:val="22"/>
        </w:rPr>
        <w:t xml:space="preserve"> περιλαμβάνεται στο ΠΑΡΑΡΤΗΜΑ το οποίο αποτελεί  αναπόσπαστο  στοιχείο  της παρούσας. </w:t>
      </w:r>
    </w:p>
    <w:p>
      <w:pPr>
        <w:pStyle w:val="Normal"/>
        <w:spacing w:lineRule="auto" w:line="240" w:before="0" w:after="0"/>
        <w:jc w:val="both"/>
        <w:rPr>
          <w:sz w:val="22"/>
          <w:szCs w:val="22"/>
        </w:rPr>
      </w:pPr>
      <w:r>
        <w:rPr>
          <w:rFonts w:cs="Calibri" w:cstheme="minorHAnsi"/>
          <w:b/>
          <w:sz w:val="22"/>
          <w:szCs w:val="22"/>
          <w:u w:val="single"/>
        </w:rPr>
        <w:t>1.3. Διάρκεια σύμβασης</w:t>
      </w:r>
    </w:p>
    <w:p>
      <w:pPr>
        <w:pStyle w:val="Normal"/>
        <w:spacing w:lineRule="auto" w:line="240" w:before="0" w:after="0"/>
        <w:jc w:val="both"/>
        <w:rPr>
          <w:rFonts w:cs="Calibri" w:cstheme="minorHAnsi"/>
          <w:b/>
          <w:sz w:val="22"/>
          <w:szCs w:val="22"/>
          <w:u w:val="single"/>
        </w:rPr>
      </w:pPr>
      <w:r>
        <w:rPr>
          <w:rFonts w:cs="Calibri" w:cstheme="minorHAnsi"/>
          <w:b/>
          <w:sz w:val="22"/>
          <w:szCs w:val="22"/>
          <w:u w:val="single"/>
        </w:rPr>
      </w:r>
    </w:p>
    <w:p>
      <w:pPr>
        <w:pStyle w:val="Normal"/>
        <w:tabs>
          <w:tab w:val="clear" w:pos="720"/>
          <w:tab w:val="left" w:pos="540" w:leader="none"/>
        </w:tabs>
        <w:spacing w:lineRule="atLeast" w:line="340" w:before="0" w:after="120"/>
        <w:ind w:right="40"/>
        <w:jc w:val="both"/>
        <w:rPr>
          <w:rFonts w:cs="Calibri" w:cstheme="minorHAnsi"/>
          <w:color w:val="auto"/>
          <w:sz w:val="22"/>
          <w:szCs w:val="22"/>
          <w:highlight w:val="none"/>
          <w:shd w:fill="auto" w:val="clear"/>
        </w:rPr>
      </w:pPr>
      <w:r>
        <w:rPr>
          <w:rFonts w:cs="Calibri" w:cstheme="minorHAnsi"/>
          <w:bCs/>
          <w:color w:val="000000"/>
          <w:sz w:val="22"/>
          <w:szCs w:val="22"/>
          <w:shd w:fill="auto" w:val="clear"/>
        </w:rPr>
        <w:t xml:space="preserve">Ένα </w:t>
      </w:r>
      <w:r>
        <w:rPr>
          <w:rFonts w:eastAsia="Times New Roman" w:cs="Calibri" w:cstheme="minorHAnsi"/>
          <w:color w:val="000000"/>
          <w:sz w:val="22"/>
          <w:szCs w:val="22"/>
          <w:shd w:fill="auto" w:val="clear"/>
          <w:lang w:eastAsia="el-GR"/>
        </w:rPr>
        <w:t>(1) έτος με δικαίωμα ανανέωσης κατόπιν απόφασης του Δ.Σ. του Γ.Ν.Σερρών και όχι πέραν της ολοκλήρωσης πλειοδοτικού διαγωνισμού εκμίσθωσης κυλικείου ή μέχρι της έκδοσης τελεσίδικης απόφασης από το δικαστήριο.</w:t>
      </w:r>
    </w:p>
    <w:p>
      <w:pPr>
        <w:pStyle w:val="Heading3"/>
        <w:rPr>
          <w:sz w:val="22"/>
          <w:szCs w:val="22"/>
        </w:rPr>
      </w:pPr>
      <w:r>
        <w:rPr>
          <w:rFonts w:cs="Calibri" w:ascii="Calibri" w:hAnsi="Calibri" w:asciiTheme="minorHAnsi" w:cstheme="minorHAnsi" w:hAnsiTheme="minorHAnsi"/>
          <w:sz w:val="22"/>
          <w:szCs w:val="22"/>
          <w:u w:val="single"/>
          <w:lang w:val="el-GR"/>
        </w:rPr>
        <w:t>1.4. Κριτήριο ανάθεσης</w:t>
      </w:r>
    </w:p>
    <w:p>
      <w:pPr>
        <w:pStyle w:val="Normal"/>
        <w:tabs>
          <w:tab w:val="clear" w:pos="720"/>
          <w:tab w:val="left" w:pos="540" w:leader="none"/>
        </w:tabs>
        <w:spacing w:lineRule="atLeast" w:line="340" w:before="0" w:after="120"/>
        <w:ind w:right="40"/>
        <w:jc w:val="both"/>
        <w:rPr>
          <w:sz w:val="22"/>
          <w:szCs w:val="22"/>
        </w:rPr>
      </w:pPr>
      <w:r>
        <w:rPr>
          <w:rFonts w:cs="Calibri" w:cstheme="minorHAnsi"/>
          <w:color w:val="000000"/>
          <w:sz w:val="22"/>
          <w:szCs w:val="22"/>
        </w:rPr>
        <w:t xml:space="preserve">Κριτήριο ανάθεσης της Σύμβασης είναι </w:t>
      </w:r>
      <w:r>
        <w:rPr>
          <w:rFonts w:cs="Calibri" w:cstheme="minorHAnsi"/>
          <w:b/>
          <w:bCs/>
          <w:color w:val="000000"/>
          <w:sz w:val="22"/>
          <w:szCs w:val="22"/>
        </w:rPr>
        <w:t>το υψηλότερο προσφερόμενο μηνιαίο τίμημα ανά μηχάνημα.</w:t>
      </w:r>
    </w:p>
    <w:p>
      <w:pPr>
        <w:pStyle w:val="Normal"/>
        <w:tabs>
          <w:tab w:val="clear" w:pos="720"/>
          <w:tab w:val="left" w:pos="540" w:leader="none"/>
        </w:tabs>
        <w:spacing w:lineRule="atLeast" w:line="340" w:before="0" w:after="120"/>
        <w:ind w:right="40"/>
        <w:jc w:val="both"/>
        <w:rPr>
          <w:sz w:val="22"/>
          <w:szCs w:val="22"/>
        </w:rPr>
      </w:pPr>
      <w:r>
        <w:rPr>
          <w:rFonts w:cs="Calibri" w:cstheme="minorHAnsi"/>
          <w:b/>
          <w:bCs/>
          <w:color w:val="000000"/>
          <w:sz w:val="22"/>
          <w:szCs w:val="22"/>
          <w:u w:val="single"/>
        </w:rPr>
        <w:t>2.Κατάρτηση-Περιεχόμενο προσφοράς</w:t>
      </w:r>
    </w:p>
    <w:p>
      <w:pPr>
        <w:pStyle w:val="Normal"/>
        <w:tabs>
          <w:tab w:val="clear" w:pos="720"/>
          <w:tab w:val="left" w:pos="540" w:leader="none"/>
        </w:tabs>
        <w:spacing w:lineRule="atLeast" w:line="340" w:before="0" w:after="120"/>
        <w:ind w:right="40"/>
        <w:jc w:val="both"/>
        <w:rPr>
          <w:sz w:val="22"/>
          <w:szCs w:val="22"/>
        </w:rPr>
      </w:pPr>
      <w:r>
        <w:rPr>
          <w:rFonts w:cs="Calibri" w:cstheme="minorHAnsi"/>
          <w:b/>
          <w:bCs/>
          <w:i w:val="false"/>
          <w:iCs w:val="false"/>
          <w:color w:val="000000"/>
          <w:sz w:val="22"/>
          <w:szCs w:val="22"/>
          <w:u w:val="single"/>
        </w:rPr>
        <w:t>2.1. Γενικοί όροι υποβολής προσφοράς.</w:t>
      </w:r>
    </w:p>
    <w:p>
      <w:pPr>
        <w:pStyle w:val="Normal"/>
        <w:tabs>
          <w:tab w:val="clear" w:pos="720"/>
          <w:tab w:val="left" w:pos="540" w:leader="none"/>
        </w:tabs>
        <w:spacing w:lineRule="atLeast" w:line="340" w:before="0" w:after="120"/>
        <w:ind w:right="40"/>
        <w:jc w:val="both"/>
        <w:rPr>
          <w:sz w:val="22"/>
          <w:szCs w:val="22"/>
        </w:rPr>
      </w:pPr>
      <w:r>
        <w:rPr>
          <w:rFonts w:cs="Calibri" w:cstheme="minorHAnsi"/>
          <w:b w:val="false"/>
          <w:bCs w:val="false"/>
          <w:color w:val="000000"/>
          <w:sz w:val="22"/>
          <w:szCs w:val="22"/>
        </w:rPr>
        <w:t xml:space="preserve">Οι προσφορά υποβάλλεται με βάση τις απαιτήσεις που ορίζονται στο </w:t>
      </w:r>
      <w:r>
        <w:rPr>
          <w:rFonts w:cs="Calibri" w:cstheme="minorHAnsi"/>
          <w:b/>
          <w:bCs/>
          <w:color w:val="000000"/>
          <w:sz w:val="22"/>
          <w:szCs w:val="22"/>
        </w:rPr>
        <w:t xml:space="preserve">Παράρτημα </w:t>
      </w:r>
      <w:r>
        <w:rPr>
          <w:rFonts w:cs="Calibri" w:cstheme="minorHAnsi"/>
          <w:b w:val="false"/>
          <w:bCs w:val="false"/>
          <w:color w:val="000000"/>
          <w:sz w:val="22"/>
          <w:szCs w:val="22"/>
        </w:rPr>
        <w:t>της παρούσας.</w:t>
      </w:r>
    </w:p>
    <w:p>
      <w:pPr>
        <w:pStyle w:val="Normal"/>
        <w:tabs>
          <w:tab w:val="clear" w:pos="720"/>
          <w:tab w:val="left" w:pos="540" w:leader="none"/>
        </w:tabs>
        <w:spacing w:lineRule="atLeast" w:line="340" w:before="0" w:after="120"/>
        <w:ind w:right="40"/>
        <w:jc w:val="both"/>
        <w:rPr>
          <w:sz w:val="22"/>
          <w:szCs w:val="22"/>
        </w:rPr>
      </w:pPr>
      <w:r>
        <w:rPr>
          <w:rFonts w:cs="Calibri" w:cstheme="minorHAnsi"/>
          <w:b w:val="false"/>
          <w:bCs w:val="false"/>
          <w:color w:val="000000"/>
          <w:sz w:val="22"/>
          <w:szCs w:val="22"/>
        </w:rPr>
        <w:t>Δεν επιτρέπεται εναλλακτική προσφορά.</w:t>
      </w:r>
    </w:p>
    <w:p>
      <w:pPr>
        <w:pStyle w:val="Normal"/>
        <w:tabs>
          <w:tab w:val="clear" w:pos="720"/>
          <w:tab w:val="left" w:pos="540" w:leader="none"/>
        </w:tabs>
        <w:spacing w:lineRule="atLeast" w:line="340" w:before="0" w:after="120"/>
        <w:ind w:right="40"/>
        <w:jc w:val="both"/>
        <w:rPr>
          <w:sz w:val="22"/>
          <w:szCs w:val="22"/>
        </w:rPr>
      </w:pPr>
      <w:r>
        <w:rPr>
          <w:rFonts w:cs="Calibri" w:cstheme="minorHAnsi"/>
          <w:b/>
          <w:bCs/>
          <w:color w:val="000000"/>
          <w:sz w:val="22"/>
          <w:szCs w:val="22"/>
          <w:u w:val="single"/>
        </w:rPr>
        <w:t>2.2.  Κατάρτιση και υποβολή προσφοράς</w:t>
      </w:r>
    </w:p>
    <w:p>
      <w:pPr>
        <w:pStyle w:val="Normal"/>
        <w:spacing w:lineRule="auto" w:line="240" w:before="0" w:after="0"/>
        <w:jc w:val="both"/>
        <w:rPr>
          <w:sz w:val="22"/>
          <w:szCs w:val="22"/>
        </w:rPr>
      </w:pPr>
      <w:r>
        <w:rPr>
          <w:rFonts w:cs="Calibri" w:cstheme="minorHAnsi"/>
          <w:sz w:val="22"/>
          <w:szCs w:val="22"/>
        </w:rPr>
        <w:t>Ο οικονομικός φορέας (φυσικά ή νομικά πρόσωπα ημεδαπά ή αλλοδαπά, οι ενώσεις αυτών των προσώπων), καλείται  να υποβάλει  την  προσφορά του σε ενιαίο σφραγισμένο φάκελο (κυρίως φάκελος) στον οποίο πρέπει να αναγράφονται ευκρινώς τα παρακάτω:</w:t>
      </w:r>
      <w:r>
        <w:rPr>
          <w:rFonts w:cs="Calibri" w:cstheme="minorHAnsi"/>
          <w:color w:val="C00000"/>
          <w:sz w:val="22"/>
          <w:szCs w:val="22"/>
        </w:rPr>
        <w:tab/>
      </w:r>
    </w:p>
    <w:p>
      <w:pPr>
        <w:pStyle w:val="Normal"/>
        <w:tabs>
          <w:tab w:val="clear" w:pos="720"/>
          <w:tab w:val="left" w:pos="540" w:leader="none"/>
        </w:tabs>
        <w:spacing w:lineRule="atLeast" w:line="340" w:before="0" w:after="120"/>
        <w:ind w:right="40"/>
        <w:jc w:val="both"/>
        <w:rPr>
          <w:rFonts w:eastAsia="Times New Roman" w:cs="Calibri" w:cstheme="minorHAnsi"/>
          <w:sz w:val="22"/>
          <w:szCs w:val="22"/>
          <w:lang w:eastAsia="el-GR"/>
        </w:rPr>
      </w:pPr>
      <w:r>
        <w:rPr>
          <w:rFonts w:eastAsia="Times New Roman" w:cs="Calibri" w:cstheme="minorHAnsi"/>
          <w:sz w:val="22"/>
          <w:szCs w:val="22"/>
          <w:lang w:eastAsia="el-GR"/>
        </w:rPr>
      </w:r>
    </w:p>
    <w:p>
      <w:pPr>
        <w:pStyle w:val="Normal"/>
        <w:tabs>
          <w:tab w:val="clear" w:pos="720"/>
          <w:tab w:val="left" w:pos="540" w:leader="none"/>
        </w:tabs>
        <w:spacing w:lineRule="atLeast" w:line="340" w:before="0" w:after="120"/>
        <w:ind w:right="40"/>
        <w:jc w:val="both"/>
        <w:rPr>
          <w:rFonts w:eastAsia="Times New Roman" w:cs="Calibri" w:cstheme="minorHAnsi"/>
          <w:sz w:val="22"/>
          <w:szCs w:val="22"/>
          <w:lang w:eastAsia="el-GR"/>
        </w:rPr>
      </w:pPr>
      <w:r>
        <w:rPr>
          <w:rFonts w:eastAsia="Times New Roman" w:cs="Calibri" w:cstheme="minorHAnsi"/>
          <w:sz w:val="22"/>
          <w:szCs w:val="22"/>
          <w:lang w:eastAsia="el-GR"/>
        </w:rPr>
      </w:r>
    </w:p>
    <w:p>
      <w:pPr>
        <w:pStyle w:val="Normal"/>
        <w:spacing w:lineRule="auto" w:line="240" w:before="0" w:after="0"/>
        <w:jc w:val="both"/>
        <w:rPr>
          <w:rFonts w:cs="Calibri" w:cstheme="minorHAnsi"/>
          <w:color w:val="C00000"/>
          <w:sz w:val="22"/>
          <w:szCs w:val="22"/>
        </w:rPr>
      </w:pPr>
      <w:r>
        <w:rPr>
          <w:rFonts w:cs="Calibri" w:cstheme="minorHAnsi"/>
          <w:color w:val="C00000"/>
          <w:sz w:val="22"/>
          <w:szCs w:val="22"/>
        </w:rPr>
      </w:r>
    </w:p>
    <w:tbl>
      <w:tblPr>
        <w:tblStyle w:val="af6"/>
        <w:tblW w:w="9497" w:type="dxa"/>
        <w:jc w:val="left"/>
        <w:tblInd w:w="534" w:type="dxa"/>
        <w:tblLayout w:type="fixed"/>
        <w:tblCellMar>
          <w:top w:w="0" w:type="dxa"/>
          <w:left w:w="108" w:type="dxa"/>
          <w:bottom w:w="0" w:type="dxa"/>
          <w:right w:w="108" w:type="dxa"/>
        </w:tblCellMar>
        <w:tblLook w:firstRow="1" w:noVBand="1" w:lastRow="0" w:firstColumn="1" w:lastColumn="0" w:noHBand="0" w:val="04a0"/>
      </w:tblPr>
      <w:tblGrid>
        <w:gridCol w:w="9497"/>
      </w:tblGrid>
      <w:tr>
        <w:trPr>
          <w:trHeight w:val="1291" w:hRule="atLeast"/>
        </w:trPr>
        <w:tc>
          <w:tcPr>
            <w:tcW w:w="9497" w:type="dxa"/>
            <w:tcBorders>
              <w:top w:val="nil"/>
              <w:left w:val="nil"/>
              <w:bottom w:val="nil"/>
              <w:right w:val="nil"/>
            </w:tcBorders>
            <w:vAlign w:val="center"/>
          </w:tcPr>
          <w:p>
            <w:pPr>
              <w:pStyle w:val="Normal"/>
              <w:widowControl w:val="false"/>
              <w:suppressAutoHyphens w:val="true"/>
              <w:spacing w:lineRule="auto" w:line="240" w:before="0" w:after="0"/>
              <w:jc w:val="center"/>
              <w:rPr>
                <w:sz w:val="22"/>
                <w:szCs w:val="22"/>
              </w:rPr>
            </w:pPr>
            <w:r>
              <w:rPr>
                <w:rFonts w:eastAsia="Calibri" w:cs="Calibri" w:cstheme="minorHAnsi"/>
                <w:b/>
                <w:bCs/>
                <w:kern w:val="0"/>
                <w:sz w:val="22"/>
                <w:szCs w:val="22"/>
                <w:lang w:val="el-GR" w:eastAsia="en-US" w:bidi="ar-SA"/>
              </w:rPr>
              <w:t>ΠΡΟΣ</w:t>
            </w:r>
          </w:p>
          <w:p>
            <w:pPr>
              <w:pStyle w:val="Normal"/>
              <w:widowControl w:val="false"/>
              <w:suppressAutoHyphens w:val="true"/>
              <w:spacing w:lineRule="auto" w:line="240" w:before="0" w:after="0"/>
              <w:jc w:val="center"/>
              <w:rPr>
                <w:sz w:val="22"/>
                <w:szCs w:val="22"/>
              </w:rPr>
            </w:pPr>
            <w:r>
              <w:rPr>
                <w:rFonts w:eastAsia="Calibri" w:cs="Calibri" w:cstheme="minorHAnsi"/>
                <w:b/>
                <w:bCs/>
                <w:kern w:val="0"/>
                <w:sz w:val="22"/>
                <w:szCs w:val="22"/>
                <w:lang w:val="el-GR" w:eastAsia="en-US" w:bidi="ar-SA"/>
              </w:rPr>
              <w:t xml:space="preserve"> </w:t>
            </w:r>
            <w:r>
              <w:rPr>
                <w:rFonts w:eastAsia="Calibri" w:cs="Calibri" w:cstheme="minorHAnsi"/>
                <w:b/>
                <w:bCs/>
                <w:kern w:val="0"/>
                <w:sz w:val="22"/>
                <w:szCs w:val="22"/>
                <w:lang w:val="el-GR" w:eastAsia="en-US" w:bidi="ar-SA"/>
              </w:rPr>
              <w:t>ΓΕΝΙΚΟ ΝΟΣΟΚΟΜΕΙΟ ΣΕΡΡΩΝ</w:t>
            </w:r>
          </w:p>
          <w:p>
            <w:pPr>
              <w:pStyle w:val="Normal"/>
              <w:widowControl w:val="false"/>
              <w:suppressAutoHyphens w:val="true"/>
              <w:spacing w:lineRule="auto" w:line="240" w:before="0" w:after="0"/>
              <w:jc w:val="center"/>
              <w:rPr>
                <w:sz w:val="22"/>
                <w:szCs w:val="22"/>
              </w:rPr>
            </w:pPr>
            <w:r>
              <w:rPr>
                <w:rFonts w:eastAsia="Calibri" w:cs="Calibri" w:cstheme="minorHAnsi"/>
                <w:kern w:val="0"/>
                <w:sz w:val="22"/>
                <w:szCs w:val="22"/>
                <w:lang w:val="el-GR" w:eastAsia="el-GR" w:bidi="ar-SA"/>
              </w:rPr>
              <w:t>2</w:t>
            </w:r>
            <w:r>
              <w:rPr>
                <w:rFonts w:eastAsia="Calibri" w:cs="Calibri" w:cstheme="minorHAnsi"/>
                <w:kern w:val="0"/>
                <w:sz w:val="22"/>
                <w:szCs w:val="22"/>
                <w:vertAlign w:val="superscript"/>
                <w:lang w:val="el-GR" w:eastAsia="el-GR" w:bidi="ar-SA"/>
              </w:rPr>
              <w:t xml:space="preserve">ο </w:t>
            </w:r>
            <w:r>
              <w:rPr>
                <w:rFonts w:eastAsia="Calibri" w:cs="Calibri" w:cstheme="minorHAnsi"/>
                <w:kern w:val="0"/>
                <w:sz w:val="22"/>
                <w:szCs w:val="22"/>
                <w:lang w:val="el-GR" w:eastAsia="el-GR" w:bidi="ar-SA"/>
              </w:rPr>
              <w:t>χλμ. Ε.Ο. Σερρών-Δράμας, Τ.Κ 62 100, Τμήμα Προμηθειών</w:t>
            </w:r>
          </w:p>
          <w:p>
            <w:pPr>
              <w:pStyle w:val="Normal"/>
              <w:widowControl w:val="false"/>
              <w:suppressAutoHyphens w:val="true"/>
              <w:spacing w:lineRule="auto" w:line="240" w:before="0" w:after="0"/>
              <w:jc w:val="center"/>
              <w:rPr>
                <w:sz w:val="22"/>
                <w:szCs w:val="22"/>
              </w:rPr>
            </w:pPr>
            <w:r>
              <w:rPr>
                <w:rFonts w:eastAsia="Calibri" w:cs="Calibri" w:cstheme="minorHAnsi"/>
                <w:bCs/>
                <w:kern w:val="0"/>
                <w:sz w:val="22"/>
                <w:szCs w:val="22"/>
                <w:lang w:val="el-GR" w:eastAsia="en-US" w:bidi="ar-SA"/>
              </w:rPr>
              <w:t xml:space="preserve">(κατατίθεται στη </w:t>
            </w:r>
            <w:r>
              <w:rPr>
                <w:rFonts w:eastAsia="Calibri" w:cs="Calibri" w:cstheme="minorHAnsi"/>
                <w:kern w:val="0"/>
                <w:sz w:val="22"/>
                <w:szCs w:val="22"/>
                <w:lang w:val="el-GR" w:eastAsia="en-US" w:bidi="ar-SA"/>
              </w:rPr>
              <w:t>Γραμματεία</w:t>
            </w:r>
            <w:r>
              <w:rPr>
                <w:rFonts w:eastAsia="Calibri" w:cs="Calibri" w:cstheme="minorHAnsi"/>
                <w:bCs/>
                <w:kern w:val="0"/>
                <w:sz w:val="22"/>
                <w:szCs w:val="22"/>
                <w:lang w:val="el-GR" w:eastAsia="en-US" w:bidi="ar-SA"/>
              </w:rPr>
              <w:t>)</w:t>
            </w:r>
          </w:p>
          <w:p>
            <w:pPr>
              <w:pStyle w:val="Normal"/>
              <w:widowControl w:val="false"/>
              <w:suppressAutoHyphens w:val="true"/>
              <w:spacing w:lineRule="auto" w:line="240" w:before="0" w:after="0"/>
              <w:jc w:val="center"/>
              <w:rPr>
                <w:rFonts w:cs="Calibri" w:cstheme="minorHAnsi"/>
                <w:b/>
                <w:sz w:val="22"/>
                <w:szCs w:val="22"/>
              </w:rPr>
            </w:pPr>
            <w:r>
              <w:rPr>
                <w:rFonts w:cs="Calibri" w:cstheme="minorHAnsi"/>
                <w:b/>
                <w:sz w:val="22"/>
                <w:szCs w:val="22"/>
              </w:rPr>
            </w:r>
          </w:p>
          <w:p>
            <w:pPr>
              <w:pStyle w:val="Normal"/>
              <w:widowControl w:val="false"/>
              <w:tabs>
                <w:tab w:val="left" w:pos="720" w:leader="none"/>
              </w:tabs>
              <w:suppressAutoHyphens w:val="true"/>
              <w:spacing w:lineRule="auto" w:line="240" w:before="0" w:after="0"/>
              <w:jc w:val="center"/>
              <w:rPr>
                <w:sz w:val="22"/>
                <w:szCs w:val="22"/>
              </w:rPr>
            </w:pPr>
            <w:r>
              <w:rPr>
                <w:rFonts w:eastAsia="Calibri" w:cs="Calibri" w:cstheme="minorHAnsi"/>
                <w:b/>
                <w:kern w:val="0"/>
                <w:sz w:val="22"/>
                <w:szCs w:val="22"/>
                <w:lang w:val="el-GR" w:eastAsia="en-US" w:bidi="ar-SA"/>
              </w:rPr>
              <w:t>ΠΡΟΣΦΟΡΑ</w:t>
            </w:r>
          </w:p>
          <w:p>
            <w:pPr>
              <w:pStyle w:val="Normal"/>
              <w:widowControl w:val="false"/>
              <w:tabs>
                <w:tab w:val="left" w:pos="720" w:leader="none"/>
              </w:tabs>
              <w:suppressAutoHyphens w:val="true"/>
              <w:spacing w:lineRule="auto" w:line="240" w:before="0" w:after="0"/>
              <w:jc w:val="center"/>
              <w:rPr>
                <w:rFonts w:cs="Calibri" w:cstheme="minorHAnsi"/>
                <w:b/>
                <w:sz w:val="22"/>
                <w:szCs w:val="22"/>
              </w:rPr>
            </w:pPr>
            <w:r>
              <w:rPr>
                <w:rFonts w:cs="Calibri" w:cstheme="minorHAnsi"/>
                <w:b/>
                <w:sz w:val="22"/>
                <w:szCs w:val="22"/>
              </w:rPr>
            </w:r>
          </w:p>
          <w:p>
            <w:pPr>
              <w:pStyle w:val="Normal"/>
              <w:widowControl w:val="false"/>
              <w:tabs>
                <w:tab w:val="left" w:pos="720" w:leader="none"/>
              </w:tabs>
              <w:suppressAutoHyphens w:val="true"/>
              <w:spacing w:before="0" w:after="0"/>
              <w:jc w:val="both"/>
              <w:rPr>
                <w:sz w:val="22"/>
                <w:szCs w:val="22"/>
              </w:rPr>
            </w:pPr>
            <w:r>
              <w:rPr>
                <w:rFonts w:eastAsia="Calibri" w:cs="Calibri" w:cstheme="minorHAnsi"/>
                <w:kern w:val="0"/>
                <w:sz w:val="22"/>
                <w:szCs w:val="22"/>
                <w:lang w:val="el-GR" w:eastAsia="en-US" w:bidi="ar-SA"/>
              </w:rPr>
              <w:t>για την υπ’ αρ.</w:t>
            </w:r>
            <w:r>
              <w:rPr>
                <w:rFonts w:eastAsia="Calibri" w:cs="Calibri" w:eastAsiaTheme="minorHAnsi"/>
                <w:kern w:val="0"/>
                <w:sz w:val="22"/>
                <w:szCs w:val="22"/>
                <w:shd w:fill="auto" w:val="clear"/>
                <w:lang w:val="el-GR" w:eastAsia="en-US" w:bidi="ar-SA"/>
              </w:rPr>
              <w:t xml:space="preserve"> 19792/29-11-2024 </w:t>
            </w:r>
            <w:r>
              <w:rPr>
                <w:rFonts w:eastAsia="Calibri" w:cs="Calibri" w:cstheme="minorHAnsi"/>
                <w:kern w:val="0"/>
                <w:sz w:val="22"/>
                <w:szCs w:val="22"/>
                <w:lang w:val="el-GR" w:eastAsia="el-GR" w:bidi="ar-SA"/>
              </w:rPr>
              <w:t xml:space="preserve">πρόσκληση υποβολής πλειοδοτικής προσφοράς για την τοποθέτηση </w:t>
            </w:r>
            <w:r>
              <w:rPr>
                <w:rFonts w:eastAsia="Times New Roman" w:cs="Times New Roman"/>
                <w:b w:val="false"/>
                <w:bCs w:val="false"/>
                <w:iCs/>
                <w:color w:val="000000"/>
                <w:kern w:val="2"/>
                <w:sz w:val="22"/>
                <w:szCs w:val="22"/>
                <w:highlight w:val="white"/>
                <w:u w:val="none"/>
                <w:lang w:val="el-GR" w:eastAsia="el-GR" w:bidi="ar-SA"/>
              </w:rPr>
              <w:t>«ΟΚΤΩ ΑΥΤΟΜΑΤΩΝ ΠΩΛΗΤΩΝ ΡΟΦΗΜΑΤΩΝ, ΚΑΙ ΟΚΤΩ ΑΥΤΟΜΑΤΩΝ ΠΩΛΗΤΩΝ ΕΜΦΙΑΛΩΜΕΝΟΥ ΝΕΡΟΥ, ΑΝΑΨΥΚΤΙΚΩΝ, ΠΡΟΧΕΙΡΗΣ ΤΡΟΦΗΣ (</w:t>
            </w:r>
            <w:r>
              <w:rPr>
                <w:rFonts w:eastAsia="Times New Roman" w:cs="Times New Roman"/>
                <w:b w:val="false"/>
                <w:bCs w:val="false"/>
                <w:iCs/>
                <w:color w:val="000000"/>
                <w:kern w:val="2"/>
                <w:sz w:val="22"/>
                <w:szCs w:val="22"/>
                <w:highlight w:val="white"/>
                <w:u w:val="none"/>
                <w:lang w:val="en-US" w:eastAsia="el-GR" w:bidi="ar-SA"/>
              </w:rPr>
              <w:t>SNACK</w:t>
            </w:r>
            <w:r>
              <w:rPr>
                <w:rFonts w:eastAsia="Times New Roman" w:cs="Times New Roman"/>
                <w:b w:val="false"/>
                <w:bCs w:val="false"/>
                <w:iCs/>
                <w:color w:val="000000"/>
                <w:kern w:val="2"/>
                <w:sz w:val="22"/>
                <w:szCs w:val="22"/>
                <w:highlight w:val="white"/>
                <w:u w:val="none"/>
                <w:lang w:val="el-GR" w:eastAsia="el-GR" w:bidi="ar-SA"/>
              </w:rPr>
              <w:t>)</w:t>
            </w:r>
            <w:r>
              <w:rPr>
                <w:rFonts w:eastAsia="Times New Roman" w:cs="Calibri"/>
                <w:b w:val="false"/>
                <w:bCs w:val="false"/>
                <w:iCs/>
                <w:color w:val="000000"/>
                <w:kern w:val="2"/>
                <w:sz w:val="22"/>
                <w:szCs w:val="22"/>
                <w:highlight w:val="white"/>
                <w:u w:val="none"/>
                <w:lang w:val="el-GR" w:eastAsia="el-GR" w:bidi="ar-SA"/>
              </w:rPr>
              <w:t xml:space="preserve"> ΣΤΟΥΣ ΧΩΡΟΥΣ ΤΟΥ Γ.Ν. ΣΕΡΡΩΝ</w:t>
            </w:r>
            <w:r>
              <w:rPr>
                <w:rFonts w:eastAsia="Times New Roman" w:cs="Times New Roman"/>
                <w:b w:val="false"/>
                <w:bCs w:val="false"/>
                <w:iCs/>
                <w:color w:val="000000"/>
                <w:kern w:val="2"/>
                <w:sz w:val="22"/>
                <w:szCs w:val="22"/>
                <w:highlight w:val="white"/>
                <w:u w:val="none"/>
                <w:lang w:val="el-GR" w:eastAsia="el-GR" w:bidi="ar-SA"/>
              </w:rPr>
              <w:t xml:space="preserve">» </w:t>
            </w:r>
            <w:r>
              <w:rPr>
                <w:rFonts w:eastAsia="Times New Roman" w:cs="Times New Roman"/>
                <w:b w:val="false"/>
                <w:bCs w:val="false"/>
                <w:iCs/>
                <w:color w:val="000000"/>
                <w:kern w:val="2"/>
                <w:sz w:val="22"/>
                <w:szCs w:val="22"/>
                <w:highlight w:val="white"/>
                <w:u w:val="none"/>
                <w:lang w:val="en-US" w:eastAsia="el-GR" w:bidi="ar-SA"/>
              </w:rPr>
              <w:t xml:space="preserve">CPV </w:t>
            </w:r>
            <w:r>
              <w:rPr>
                <w:rFonts w:eastAsia="Times New Roman" w:cs="Calibri"/>
                <w:b w:val="false"/>
                <w:bCs w:val="false"/>
                <w:i w:val="false"/>
                <w:iCs/>
                <w:caps w:val="false"/>
                <w:smallCaps w:val="false"/>
                <w:color w:val="auto"/>
                <w:spacing w:val="0"/>
                <w:kern w:val="2"/>
                <w:sz w:val="22"/>
                <w:szCs w:val="22"/>
                <w:highlight w:val="white"/>
                <w:u w:val="none"/>
                <w:lang w:val="en-US" w:eastAsia="el-GR" w:bidi="ar-SA"/>
              </w:rPr>
              <w:t>15894500-6</w:t>
            </w:r>
          </w:p>
          <w:p>
            <w:pPr>
              <w:pStyle w:val="Normal"/>
              <w:widowControl w:val="false"/>
              <w:suppressAutoHyphens w:val="true"/>
              <w:spacing w:lineRule="auto" w:line="240" w:before="240" w:after="0"/>
              <w:jc w:val="left"/>
              <w:rPr>
                <w:sz w:val="22"/>
                <w:szCs w:val="22"/>
              </w:rPr>
            </w:pPr>
            <w:r>
              <w:rPr>
                <w:rFonts w:eastAsia="Calibri" w:cs="Calibri" w:cstheme="minorHAnsi"/>
                <w:bCs/>
                <w:kern w:val="0"/>
                <w:sz w:val="22"/>
                <w:szCs w:val="22"/>
                <w:lang w:val="el-GR" w:eastAsia="en-US" w:bidi="ar-SA"/>
              </w:rPr>
              <w:t xml:space="preserve">                                              </w:t>
            </w:r>
            <w:r>
              <w:rPr>
                <w:rFonts w:eastAsia="Calibri" w:cs="Calibri" w:cstheme="minorHAnsi"/>
                <w:bCs/>
                <w:kern w:val="0"/>
                <w:sz w:val="22"/>
                <w:szCs w:val="22"/>
                <w:lang w:val="el-GR" w:eastAsia="en-US" w:bidi="ar-SA"/>
              </w:rPr>
              <w:t xml:space="preserve">Ημερομηνία διενέργειας:                                                </w:t>
            </w:r>
            <w:r>
              <w:rPr>
                <w:rFonts w:eastAsia="Calibri" w:cs="Calibri" w:cstheme="minorHAnsi"/>
                <w:bCs/>
                <w:kern w:val="0"/>
                <w:sz w:val="22"/>
                <w:szCs w:val="22"/>
                <w:shd w:fill="auto" w:val="clear"/>
                <w:lang w:val="el-GR" w:eastAsia="en-US" w:bidi="ar-SA"/>
              </w:rPr>
              <w:t xml:space="preserve">   04/12/2024</w:t>
            </w:r>
          </w:p>
          <w:p>
            <w:pPr>
              <w:pStyle w:val="Normal"/>
              <w:widowControl w:val="false"/>
              <w:suppressAutoHyphens w:val="true"/>
              <w:spacing w:lineRule="auto" w:line="240" w:before="0" w:after="0"/>
              <w:jc w:val="center"/>
              <w:rPr>
                <w:sz w:val="22"/>
                <w:szCs w:val="22"/>
                <w:highlight w:val="none"/>
                <w:shd w:fill="auto" w:val="clear"/>
              </w:rPr>
            </w:pPr>
            <w:r>
              <w:rPr>
                <w:rFonts w:eastAsia="Calibri" w:cs="Calibri" w:cstheme="minorHAnsi"/>
                <w:bCs/>
                <w:kern w:val="0"/>
                <w:sz w:val="22"/>
                <w:szCs w:val="22"/>
                <w:shd w:fill="auto" w:val="clear"/>
                <w:lang w:val="el-GR" w:eastAsia="en-US" w:bidi="ar-SA"/>
              </w:rPr>
              <w:t>Καταληκτική ημερομηνία υποβολής προσφορών:                                03/12/2024</w:t>
            </w:r>
          </w:p>
          <w:p>
            <w:pPr>
              <w:pStyle w:val="Normal"/>
              <w:widowControl w:val="false"/>
              <w:suppressAutoHyphens w:val="true"/>
              <w:spacing w:lineRule="auto" w:line="240" w:before="0" w:after="0"/>
              <w:jc w:val="center"/>
              <w:rPr>
                <w:rFonts w:cs="Calibri" w:cstheme="minorHAnsi"/>
                <w:bCs/>
                <w:sz w:val="22"/>
                <w:szCs w:val="22"/>
              </w:rPr>
            </w:pPr>
            <w:r>
              <w:rPr>
                <w:rFonts w:cs="Calibri" w:cstheme="minorHAnsi"/>
                <w:bCs/>
                <w:sz w:val="22"/>
                <w:szCs w:val="22"/>
              </w:rPr>
            </w:r>
          </w:p>
          <w:p>
            <w:pPr>
              <w:pStyle w:val="Normal"/>
              <w:widowControl w:val="false"/>
              <w:suppressAutoHyphens w:val="true"/>
              <w:spacing w:lineRule="auto" w:line="240" w:before="0" w:after="0"/>
              <w:jc w:val="center"/>
              <w:rPr>
                <w:sz w:val="22"/>
                <w:szCs w:val="22"/>
              </w:rPr>
            </w:pPr>
            <w:r>
              <w:rPr>
                <w:rFonts w:eastAsia="Calibri" w:cs="Calibri" w:cstheme="minorHAnsi"/>
                <w:b/>
                <w:kern w:val="0"/>
                <w:sz w:val="22"/>
                <w:szCs w:val="22"/>
                <w:lang w:val="el-GR" w:eastAsia="en-US" w:bidi="ar-SA"/>
              </w:rPr>
              <w:t>Στοιχεία Προσφέροντος:</w:t>
            </w:r>
          </w:p>
        </w:tc>
      </w:tr>
      <w:tr>
        <w:trPr/>
        <w:tc>
          <w:tcPr>
            <w:tcW w:w="9497" w:type="dxa"/>
            <w:tcBorders>
              <w:top w:val="nil"/>
              <w:left w:val="nil"/>
              <w:bottom w:val="nil"/>
              <w:right w:val="nil"/>
            </w:tcBorders>
          </w:tcPr>
          <w:p>
            <w:pPr>
              <w:pStyle w:val="Normal"/>
              <w:widowControl w:val="false"/>
              <w:suppressAutoHyphens w:val="true"/>
              <w:spacing w:before="0" w:after="0"/>
              <w:jc w:val="both"/>
              <w:rPr>
                <w:sz w:val="22"/>
                <w:szCs w:val="22"/>
              </w:rPr>
            </w:pPr>
            <w:r>
              <w:rPr>
                <w:rFonts w:eastAsia="Calibri" w:cs="Calibri" w:cstheme="minorHAnsi"/>
                <w:kern w:val="0"/>
                <w:sz w:val="22"/>
                <w:szCs w:val="22"/>
                <w:lang w:val="el-GR" w:eastAsia="en-US" w:bidi="ar-SA"/>
              </w:rPr>
              <w:t xml:space="preserve">                                </w:t>
            </w:r>
            <w:r>
              <w:rPr>
                <w:rFonts w:eastAsia="Calibri" w:cs="Calibri" w:cstheme="minorHAnsi"/>
                <w:kern w:val="0"/>
                <w:sz w:val="22"/>
                <w:szCs w:val="22"/>
                <w:lang w:val="el-GR" w:eastAsia="en-US" w:bidi="ar-SA"/>
              </w:rPr>
              <w:t>Επωνυμία:</w:t>
            </w:r>
          </w:p>
        </w:tc>
      </w:tr>
      <w:tr>
        <w:trPr>
          <w:trHeight w:val="383" w:hRule="atLeast"/>
        </w:trPr>
        <w:tc>
          <w:tcPr>
            <w:tcW w:w="9497" w:type="dxa"/>
            <w:tcBorders>
              <w:top w:val="nil"/>
              <w:left w:val="nil"/>
              <w:bottom w:val="nil"/>
              <w:right w:val="nil"/>
            </w:tcBorders>
          </w:tcPr>
          <w:p>
            <w:pPr>
              <w:pStyle w:val="Normal"/>
              <w:widowControl w:val="false"/>
              <w:suppressAutoHyphens w:val="true"/>
              <w:spacing w:before="0" w:after="0"/>
              <w:jc w:val="both"/>
              <w:rPr>
                <w:sz w:val="22"/>
                <w:szCs w:val="22"/>
              </w:rPr>
            </w:pPr>
            <w:r>
              <w:rPr>
                <w:rFonts w:eastAsia="Calibri" w:cs="Calibri" w:cstheme="minorHAnsi"/>
                <w:kern w:val="0"/>
                <w:sz w:val="22"/>
                <w:szCs w:val="22"/>
                <w:lang w:val="el-GR" w:eastAsia="en-US" w:bidi="ar-SA"/>
              </w:rPr>
              <w:t xml:space="preserve">                                </w:t>
            </w:r>
            <w:r>
              <w:rPr>
                <w:rFonts w:eastAsia="Calibri" w:cs="Calibri" w:cstheme="minorHAnsi"/>
                <w:kern w:val="0"/>
                <w:sz w:val="22"/>
                <w:szCs w:val="22"/>
                <w:lang w:val="el-GR" w:eastAsia="en-US" w:bidi="ar-SA"/>
              </w:rPr>
              <w:t>Διεύθυνση:</w:t>
            </w:r>
          </w:p>
        </w:tc>
      </w:tr>
      <w:tr>
        <w:trPr/>
        <w:tc>
          <w:tcPr>
            <w:tcW w:w="9497" w:type="dxa"/>
            <w:tcBorders>
              <w:top w:val="nil"/>
              <w:left w:val="nil"/>
              <w:bottom w:val="nil"/>
              <w:right w:val="nil"/>
            </w:tcBorders>
          </w:tcPr>
          <w:p>
            <w:pPr>
              <w:pStyle w:val="Normal"/>
              <w:widowControl w:val="false"/>
              <w:suppressAutoHyphens w:val="true"/>
              <w:spacing w:before="0" w:after="0"/>
              <w:jc w:val="both"/>
              <w:rPr>
                <w:sz w:val="22"/>
                <w:szCs w:val="22"/>
              </w:rPr>
            </w:pPr>
            <w:r>
              <w:rPr>
                <w:rFonts w:eastAsia="Calibri" w:cs="Calibri" w:cstheme="minorHAnsi"/>
                <w:kern w:val="0"/>
                <w:sz w:val="22"/>
                <w:szCs w:val="22"/>
                <w:lang w:val="el-GR" w:eastAsia="en-US" w:bidi="ar-SA"/>
              </w:rPr>
              <w:t xml:space="preserve">                                </w:t>
            </w:r>
            <w:r>
              <w:rPr>
                <w:rFonts w:eastAsia="Calibri" w:cs="Calibri" w:cstheme="minorHAnsi"/>
                <w:kern w:val="0"/>
                <w:sz w:val="22"/>
                <w:szCs w:val="22"/>
                <w:lang w:val="el-GR" w:eastAsia="en-US" w:bidi="ar-SA"/>
              </w:rPr>
              <w:t>Τηλ.:</w:t>
            </w:r>
          </w:p>
        </w:tc>
      </w:tr>
      <w:tr>
        <w:trPr/>
        <w:tc>
          <w:tcPr>
            <w:tcW w:w="9497" w:type="dxa"/>
            <w:tcBorders>
              <w:top w:val="nil"/>
              <w:left w:val="nil"/>
              <w:bottom w:val="nil"/>
              <w:right w:val="nil"/>
            </w:tcBorders>
          </w:tcPr>
          <w:p>
            <w:pPr>
              <w:pStyle w:val="Normal"/>
              <w:widowControl w:val="false"/>
              <w:suppressAutoHyphens w:val="true"/>
              <w:spacing w:before="0" w:after="0"/>
              <w:jc w:val="both"/>
              <w:rPr>
                <w:sz w:val="22"/>
                <w:szCs w:val="22"/>
              </w:rPr>
            </w:pPr>
            <w:r>
              <w:rPr>
                <w:rFonts w:eastAsia="Calibri" w:cs="Calibri" w:cstheme="minorHAnsi"/>
                <w:kern w:val="0"/>
                <w:sz w:val="22"/>
                <w:szCs w:val="22"/>
                <w:lang w:val="el-GR" w:eastAsia="en-US" w:bidi="ar-SA"/>
              </w:rPr>
              <w:t xml:space="preserve">                                </w:t>
            </w:r>
            <w:r>
              <w:rPr>
                <w:rFonts w:eastAsia="Calibri" w:cs="Calibri" w:cstheme="minorHAnsi"/>
                <w:kern w:val="0"/>
                <w:sz w:val="22"/>
                <w:szCs w:val="22"/>
                <w:lang w:val="el-GR" w:eastAsia="en-US" w:bidi="ar-SA"/>
              </w:rPr>
              <w:t>Ε-mail:</w:t>
            </w:r>
          </w:p>
        </w:tc>
      </w:tr>
    </w:tbl>
    <w:p>
      <w:pPr>
        <w:pStyle w:val="Normal"/>
        <w:spacing w:lineRule="auto" w:line="240" w:before="240" w:after="200"/>
        <w:jc w:val="both"/>
        <w:rPr>
          <w:rFonts w:cs="Calibri" w:cstheme="minorHAnsi"/>
          <w:sz w:val="22"/>
          <w:szCs w:val="22"/>
        </w:rPr>
      </w:pPr>
      <w:r>
        <w:rPr>
          <w:rFonts w:cs="Calibri" w:cstheme="minorHAnsi"/>
          <w:sz w:val="22"/>
          <w:szCs w:val="22"/>
        </w:rPr>
      </w:r>
    </w:p>
    <w:p>
      <w:pPr>
        <w:pStyle w:val="Normal"/>
        <w:tabs>
          <w:tab w:val="clear" w:pos="720"/>
          <w:tab w:val="left" w:pos="540" w:leader="none"/>
        </w:tabs>
        <w:spacing w:lineRule="atLeast" w:line="340" w:before="0" w:after="120"/>
        <w:ind w:right="40"/>
        <w:jc w:val="both"/>
        <w:rPr>
          <w:sz w:val="22"/>
          <w:szCs w:val="22"/>
        </w:rPr>
      </w:pPr>
      <w:r>
        <w:rPr>
          <w:rFonts w:cs="Calibri" w:cstheme="minorHAnsi"/>
          <w:b w:val="false"/>
          <w:bCs w:val="false"/>
          <w:color w:val="000000"/>
          <w:sz w:val="22"/>
          <w:szCs w:val="22"/>
        </w:rPr>
        <w:t>Ο οικονομικός φορέας υποβάλλει με την προσφορά του εντός του κύριου φακέλου τα ακόλουθα:</w:t>
      </w:r>
    </w:p>
    <w:p>
      <w:pPr>
        <w:pStyle w:val="Normal"/>
        <w:tabs>
          <w:tab w:val="clear" w:pos="720"/>
          <w:tab w:val="left" w:pos="540" w:leader="none"/>
        </w:tabs>
        <w:spacing w:lineRule="atLeast" w:line="340" w:before="0" w:after="120"/>
        <w:ind w:right="40"/>
        <w:jc w:val="both"/>
        <w:rPr>
          <w:sz w:val="22"/>
          <w:szCs w:val="22"/>
        </w:rPr>
      </w:pPr>
      <w:r>
        <w:rPr>
          <w:rFonts w:cs="Calibri" w:cstheme="minorHAnsi"/>
          <w:b/>
          <w:bCs/>
          <w:color w:val="000000"/>
          <w:sz w:val="22"/>
          <w:szCs w:val="22"/>
        </w:rPr>
        <w:t xml:space="preserve">(α) </w:t>
      </w:r>
      <w:r>
        <w:rPr>
          <w:rFonts w:cs="Calibri" w:cstheme="minorHAnsi"/>
          <w:b w:val="false"/>
          <w:bCs w:val="false"/>
          <w:color w:val="000000"/>
          <w:sz w:val="22"/>
          <w:szCs w:val="22"/>
        </w:rPr>
        <w:t xml:space="preserve">έναν (υπο)φάκελο με την ένδειξη «Δικαιολογητικά Συμμετοχής» </w:t>
      </w:r>
      <w:r>
        <w:rPr>
          <w:rFonts w:cs="Calibri" w:cstheme="minorHAnsi"/>
          <w:color w:val="000000"/>
          <w:sz w:val="22"/>
          <w:szCs w:val="22"/>
        </w:rPr>
        <w:t xml:space="preserve"> στον οποίο περιλαμβάνονται τα κατά περίπτωση απαιτούμενα δικαιολογητικά σύμφωνα με τις διατάξεις της κείμενης νομοθεσίας και την  παρούσα.</w:t>
      </w:r>
    </w:p>
    <w:p>
      <w:pPr>
        <w:pStyle w:val="Normal"/>
        <w:tabs>
          <w:tab w:val="clear" w:pos="720"/>
          <w:tab w:val="left" w:pos="540" w:leader="none"/>
        </w:tabs>
        <w:spacing w:lineRule="atLeast" w:line="340" w:before="0" w:after="120"/>
        <w:ind w:right="40"/>
        <w:jc w:val="both"/>
        <w:rPr>
          <w:sz w:val="22"/>
          <w:szCs w:val="22"/>
        </w:rPr>
      </w:pPr>
      <w:r>
        <w:rPr>
          <w:rFonts w:cs="Calibri" w:cstheme="minorHAnsi"/>
          <w:b/>
          <w:bCs/>
          <w:color w:val="000000"/>
          <w:sz w:val="22"/>
          <w:szCs w:val="22"/>
        </w:rPr>
        <w:t>(β)</w:t>
      </w:r>
      <w:r>
        <w:rPr>
          <w:rFonts w:cs="Calibri" w:cstheme="minorHAnsi"/>
          <w:color w:val="000000"/>
          <w:sz w:val="22"/>
          <w:szCs w:val="22"/>
        </w:rPr>
        <w:t xml:space="preserve"> </w:t>
      </w:r>
      <w:r>
        <w:rPr>
          <w:rFonts w:cs="Calibri" w:cstheme="minorHAnsi"/>
          <w:b w:val="false"/>
          <w:bCs w:val="false"/>
          <w:color w:val="000000"/>
          <w:sz w:val="22"/>
          <w:szCs w:val="22"/>
        </w:rPr>
        <w:t>έναν (υπο)φάκελο με την ένδειξη «Τεχνική Προσφορά» στον οποίο περιλαμβάνονται τα κατά περίπτωση απαιτούμενα και η τεχνική προσφορά  σύμφωνα με τις διατάξεις της κείμενης νομοθεσίας και την  παρούσα.</w:t>
      </w:r>
    </w:p>
    <w:p>
      <w:pPr>
        <w:pStyle w:val="Normal"/>
        <w:tabs>
          <w:tab w:val="clear" w:pos="720"/>
          <w:tab w:val="left" w:pos="540" w:leader="none"/>
        </w:tabs>
        <w:spacing w:lineRule="atLeast" w:line="340" w:before="0" w:after="120"/>
        <w:ind w:right="40"/>
        <w:jc w:val="both"/>
        <w:rPr>
          <w:sz w:val="22"/>
          <w:szCs w:val="22"/>
        </w:rPr>
      </w:pPr>
      <w:r>
        <w:rPr>
          <w:rFonts w:cs="Calibri" w:cstheme="minorHAnsi"/>
          <w:b/>
          <w:bCs/>
          <w:color w:val="000000"/>
          <w:sz w:val="22"/>
          <w:szCs w:val="22"/>
        </w:rPr>
        <w:t xml:space="preserve">(γ) </w:t>
      </w:r>
      <w:r>
        <w:rPr>
          <w:rFonts w:cs="Calibri" w:cstheme="minorHAnsi"/>
          <w:b w:val="false"/>
          <w:bCs w:val="false"/>
          <w:color w:val="000000"/>
          <w:sz w:val="22"/>
          <w:szCs w:val="22"/>
        </w:rPr>
        <w:t xml:space="preserve"> έναν (υπο)φάκελο με την ένδειξη «Οικονομική Προσφορά» στον οποίο περιλαμβάνεται η οικονομική προσφορά.</w:t>
      </w:r>
    </w:p>
    <w:p>
      <w:pPr>
        <w:pStyle w:val="Normal"/>
        <w:tabs>
          <w:tab w:val="clear" w:pos="720"/>
          <w:tab w:val="left" w:pos="540" w:leader="none"/>
        </w:tabs>
        <w:spacing w:lineRule="atLeast" w:line="340" w:before="0" w:after="120"/>
        <w:ind w:right="40"/>
        <w:jc w:val="both"/>
        <w:rPr>
          <w:sz w:val="22"/>
          <w:szCs w:val="22"/>
        </w:rPr>
      </w:pPr>
      <w:r>
        <w:rPr>
          <w:sz w:val="22"/>
          <w:szCs w:val="22"/>
        </w:rPr>
      </w:r>
    </w:p>
    <w:p>
      <w:pPr>
        <w:pStyle w:val="Normal"/>
        <w:tabs>
          <w:tab w:val="clear" w:pos="720"/>
          <w:tab w:val="left" w:pos="540" w:leader="none"/>
        </w:tabs>
        <w:spacing w:lineRule="atLeast" w:line="340" w:before="0" w:after="120"/>
        <w:ind w:right="40"/>
        <w:jc w:val="both"/>
        <w:rPr>
          <w:sz w:val="22"/>
          <w:szCs w:val="22"/>
        </w:rPr>
      </w:pPr>
      <w:r>
        <w:rPr>
          <w:sz w:val="22"/>
          <w:szCs w:val="22"/>
        </w:rPr>
      </w:r>
    </w:p>
    <w:p>
      <w:pPr>
        <w:pStyle w:val="Normal"/>
        <w:tabs>
          <w:tab w:val="clear" w:pos="720"/>
          <w:tab w:val="left" w:pos="540" w:leader="none"/>
        </w:tabs>
        <w:spacing w:lineRule="atLeast" w:line="340" w:before="0" w:after="120"/>
        <w:ind w:right="40"/>
        <w:jc w:val="both"/>
        <w:rPr>
          <w:sz w:val="22"/>
          <w:szCs w:val="22"/>
        </w:rPr>
      </w:pPr>
      <w:r>
        <w:rPr>
          <w:rFonts w:cs="Calibri" w:cstheme="minorHAnsi"/>
          <w:b/>
          <w:bCs/>
          <w:color w:val="000000"/>
          <w:sz w:val="22"/>
          <w:szCs w:val="22"/>
          <w:u w:val="single"/>
        </w:rPr>
        <w:t xml:space="preserve">2.3. Περιεχόμενα Φακέλου «Δικαιολογητικά Συμμετοχής-Τεχνική Προσφορά» </w:t>
      </w:r>
    </w:p>
    <w:p>
      <w:pPr>
        <w:pStyle w:val="Normal"/>
        <w:tabs>
          <w:tab w:val="clear" w:pos="720"/>
          <w:tab w:val="left" w:pos="540" w:leader="none"/>
        </w:tabs>
        <w:spacing w:lineRule="atLeast" w:line="340" w:before="0" w:after="120"/>
        <w:ind w:right="40"/>
        <w:jc w:val="both"/>
        <w:rPr>
          <w:sz w:val="22"/>
          <w:szCs w:val="22"/>
        </w:rPr>
      </w:pPr>
      <w:r>
        <w:rPr>
          <w:b/>
          <w:bCs/>
          <w:sz w:val="22"/>
          <w:szCs w:val="22"/>
        </w:rPr>
        <w:t>2.3.1. Δικαιολογητικά Συμμετοχής:</w:t>
      </w:r>
    </w:p>
    <w:p>
      <w:pPr>
        <w:pStyle w:val="Normal"/>
        <w:tabs>
          <w:tab w:val="clear" w:pos="720"/>
          <w:tab w:val="left" w:pos="540" w:leader="none"/>
        </w:tabs>
        <w:spacing w:lineRule="atLeast" w:line="340" w:before="0" w:after="120"/>
        <w:ind w:right="40"/>
        <w:jc w:val="both"/>
        <w:rPr>
          <w:sz w:val="22"/>
          <w:szCs w:val="22"/>
        </w:rPr>
      </w:pPr>
      <w:r>
        <w:rPr>
          <w:sz w:val="22"/>
          <w:szCs w:val="22"/>
        </w:rPr>
        <w:t>1. Υπεύθυνη δήλωση της παρ. 4 του άρθρου 8 του ν. 1599/1986 (Α' 75), όπως εκάστοτε ισχύει, στην οποία αναγράφονται τα στοιχεία της πρόσκλησης στην  οποία συμμετέχει ο οικονομικός φορέας και δηλώνεται ότι:</w:t>
      </w:r>
    </w:p>
    <w:p>
      <w:pPr>
        <w:pStyle w:val="Normal"/>
        <w:numPr>
          <w:ilvl w:val="0"/>
          <w:numId w:val="4"/>
        </w:numPr>
        <w:jc w:val="both"/>
        <w:rPr>
          <w:sz w:val="22"/>
          <w:szCs w:val="22"/>
        </w:rPr>
      </w:pPr>
      <w:r>
        <w:rPr>
          <w:sz w:val="22"/>
          <w:szCs w:val="22"/>
        </w:rPr>
        <w:t>Ο οικονομικός φορέας δηλώνει ότι αποδέχεται  ανεπιφύλακτα τους όρους της  παρούσας</w:t>
      </w:r>
    </w:p>
    <w:p>
      <w:pPr>
        <w:pStyle w:val="Normal"/>
        <w:numPr>
          <w:ilvl w:val="0"/>
          <w:numId w:val="4"/>
        </w:numPr>
        <w:jc w:val="both"/>
        <w:rPr>
          <w:sz w:val="22"/>
          <w:szCs w:val="22"/>
        </w:rPr>
      </w:pPr>
      <w:r>
        <w:rPr>
          <w:sz w:val="22"/>
          <w:szCs w:val="22"/>
        </w:rPr>
        <w:t>Μέχρι  την  ημέρα υποβολής της προσφοράς ο οικονομικός φορέας δε βρίσκεται σε μια από τις καταστάσεις των άρθρων 73 και 74 του Ν.4412/2016, για τις οποίες οι οικονομικοί φορείς αποκλείονται ή μπορούν  να αποκλειστούν από τη  συμμετοχή τους  σε διαγωνισμούς του Δημοσίου.</w:t>
      </w:r>
    </w:p>
    <w:p>
      <w:pPr>
        <w:pStyle w:val="Normal"/>
        <w:numPr>
          <w:ilvl w:val="0"/>
          <w:numId w:val="4"/>
        </w:numPr>
        <w:jc w:val="both"/>
        <w:rPr>
          <w:sz w:val="22"/>
          <w:szCs w:val="22"/>
        </w:rPr>
      </w:pPr>
      <w:r>
        <w:rPr>
          <w:sz w:val="22"/>
          <w:szCs w:val="22"/>
        </w:rPr>
        <w:t>Ότι η προσφορά συντάχθηκε σύμφωνα με τους όρους της παρούσας, των οποίων ο προσφέροντας έλαβε πλήρη  και ανεπιφύλακτη γνώση.</w:t>
      </w:r>
    </w:p>
    <w:p>
      <w:pPr>
        <w:pStyle w:val="Normal"/>
        <w:numPr>
          <w:ilvl w:val="0"/>
          <w:numId w:val="4"/>
        </w:numPr>
        <w:jc w:val="both"/>
        <w:rPr>
          <w:sz w:val="22"/>
          <w:szCs w:val="22"/>
        </w:rPr>
      </w:pPr>
      <w:r>
        <w:rPr>
          <w:sz w:val="22"/>
          <w:szCs w:val="22"/>
        </w:rPr>
        <w:t xml:space="preserve">Τα στοιχεία που αναφέρονται στην  προσφορά είναι ακριβή και αληθή. </w:t>
      </w:r>
    </w:p>
    <w:p>
      <w:pPr>
        <w:pStyle w:val="Normal"/>
        <w:numPr>
          <w:ilvl w:val="0"/>
          <w:numId w:val="4"/>
        </w:numPr>
        <w:jc w:val="both"/>
        <w:rPr>
          <w:sz w:val="22"/>
          <w:szCs w:val="22"/>
        </w:rPr>
      </w:pPr>
      <w:r>
        <w:rPr>
          <w:sz w:val="22"/>
          <w:szCs w:val="22"/>
        </w:rPr>
        <w:t xml:space="preserve">Παραιτείται από κάθε δικαίωμα αποζημίωσης τους σχετικά με οποιαδήποτε απόφαση της Αναθέτουσας Αρχής για αναβολή ή ακύρωση  – ματαίωση της προσφοράς. </w:t>
      </w:r>
    </w:p>
    <w:p>
      <w:pPr>
        <w:pStyle w:val="Normal"/>
        <w:numPr>
          <w:ilvl w:val="0"/>
          <w:numId w:val="4"/>
        </w:numPr>
        <w:jc w:val="both"/>
        <w:rPr>
          <w:sz w:val="22"/>
          <w:szCs w:val="22"/>
        </w:rPr>
      </w:pPr>
      <w:r>
        <w:rPr>
          <w:sz w:val="22"/>
          <w:szCs w:val="22"/>
        </w:rPr>
        <w:t>Ότι αναλαμβάνει την τοποθέτηση  Αυτόματων Πωλητών  «ΑΥΤΟΜΑΤΩΝ ΠΩΛΗΤΩΝ ΕΜΦΙΑΛΩΜΕΝΟΥ ΝΕΡΟΥ, ΡΟΦΗΜΑΤΩΝ,ΑΝΑΨΥΚΤΙΚΩΝ ΚΑΙ ΠΡΟΧΕΙΡΗΣ ΤΡΟΦΗΣ (</w:t>
      </w:r>
      <w:r>
        <w:rPr>
          <w:sz w:val="22"/>
          <w:szCs w:val="22"/>
          <w:lang w:val="en-US"/>
        </w:rPr>
        <w:t>SNACK)</w:t>
      </w:r>
      <w:r>
        <w:rPr>
          <w:sz w:val="22"/>
          <w:szCs w:val="22"/>
        </w:rPr>
        <w:t xml:space="preserve"> ΣΤΟΥΣ ΧΩΡΟΥΣ ΤΟΥ Γ.Ν.ΣΕΡΡΩΝ» όπως αυτή αναφέρεται στο ΠΑΡΑΡΤΗΜΑ της  παρούσας, για την οποία υποβάλει προσφορά. </w:t>
      </w:r>
    </w:p>
    <w:p>
      <w:pPr>
        <w:pStyle w:val="Normal"/>
        <w:numPr>
          <w:ilvl w:val="0"/>
          <w:numId w:val="4"/>
        </w:numPr>
        <w:spacing w:before="0" w:after="0"/>
        <w:contextualSpacing/>
        <w:jc w:val="both"/>
        <w:rPr>
          <w:sz w:val="22"/>
          <w:szCs w:val="22"/>
        </w:rPr>
      </w:pPr>
      <w:r>
        <w:rPr>
          <w:rFonts w:eastAsia="Times New Roman" w:cs="Calibri" w:cstheme="minorHAnsi"/>
          <w:sz w:val="22"/>
          <w:szCs w:val="22"/>
          <w:lang w:eastAsia="el-GR"/>
        </w:rPr>
        <w:t>Ο υπογράφων είναι νόμιμος εκπρόσωπος και διαχειριστής της εταιρίας ή πρόσωπο ειδικώς εξουσιοδοτημένο.</w:t>
      </w:r>
    </w:p>
    <w:p>
      <w:pPr>
        <w:pStyle w:val="Normal"/>
        <w:numPr>
          <w:ilvl w:val="0"/>
          <w:numId w:val="0"/>
        </w:numPr>
        <w:spacing w:before="0" w:after="0"/>
        <w:ind w:hanging="0" w:left="720"/>
        <w:contextualSpacing/>
        <w:jc w:val="both"/>
        <w:rPr>
          <w:sz w:val="22"/>
          <w:szCs w:val="22"/>
        </w:rPr>
      </w:pPr>
      <w:r>
        <w:rPr>
          <w:sz w:val="22"/>
          <w:szCs w:val="22"/>
        </w:rPr>
      </w:r>
    </w:p>
    <w:p>
      <w:pPr>
        <w:pStyle w:val="Normal"/>
        <w:numPr>
          <w:ilvl w:val="0"/>
          <w:numId w:val="4"/>
        </w:numPr>
        <w:spacing w:before="0" w:after="0"/>
        <w:contextualSpacing/>
        <w:jc w:val="both"/>
        <w:rPr>
          <w:sz w:val="22"/>
          <w:szCs w:val="22"/>
        </w:rPr>
      </w:pPr>
      <w:r>
        <w:rPr>
          <w:rFonts w:eastAsia="Times New Roman" w:cs="Calibri" w:cstheme="minorHAnsi"/>
          <w:sz w:val="22"/>
          <w:szCs w:val="22"/>
          <w:lang w:eastAsia="el-GR"/>
        </w:rPr>
        <w:t>H προσφορά ισχύει για διάστημα τουλάχιστον εκατόν ογδόντα (180) ημερών.</w:t>
      </w:r>
    </w:p>
    <w:p>
      <w:pPr>
        <w:pStyle w:val="Normal"/>
        <w:numPr>
          <w:ilvl w:val="0"/>
          <w:numId w:val="0"/>
        </w:numPr>
        <w:ind w:hanging="0" w:left="720"/>
        <w:jc w:val="both"/>
        <w:rPr>
          <w:sz w:val="22"/>
          <w:szCs w:val="22"/>
        </w:rPr>
      </w:pPr>
      <w:r>
        <w:rPr>
          <w:sz w:val="22"/>
          <w:szCs w:val="22"/>
        </w:rPr>
      </w:r>
    </w:p>
    <w:p>
      <w:pPr>
        <w:pStyle w:val="Normal"/>
        <w:widowControl/>
        <w:numPr>
          <w:ilvl w:val="0"/>
          <w:numId w:val="0"/>
        </w:numPr>
        <w:suppressAutoHyphens w:val="true"/>
        <w:bidi w:val="0"/>
        <w:spacing w:lineRule="auto" w:line="276" w:before="0" w:after="200"/>
        <w:ind w:hanging="0" w:left="57" w:right="0"/>
        <w:jc w:val="both"/>
        <w:rPr/>
      </w:pPr>
      <w:r>
        <w:rPr>
          <w:b/>
          <w:bCs/>
          <w:sz w:val="22"/>
          <w:szCs w:val="22"/>
        </w:rPr>
        <w:t xml:space="preserve">2.3.2. </w:t>
      </w:r>
      <w:r>
        <w:rPr>
          <w:rStyle w:val="fontstyle01"/>
          <w:rFonts w:cs="Calibri" w:cstheme="minorHAnsi"/>
          <w:b/>
          <w:bCs/>
          <w:color w:val="auto"/>
          <w:sz w:val="22"/>
          <w:szCs w:val="22"/>
        </w:rPr>
        <w:t>Απόσπασμα Ποινικού Μητρώου</w:t>
      </w:r>
      <w:r>
        <w:rPr>
          <w:rStyle w:val="fontstyle01"/>
          <w:rFonts w:cs="Calibri" w:cstheme="minorHAnsi"/>
          <w:color w:val="auto"/>
          <w:sz w:val="22"/>
          <w:szCs w:val="22"/>
        </w:rPr>
        <w:t xml:space="preserve"> σύμφωνα με τα οριζόμενα της παραγράφου 1 του άρθρου 73 του Ν.4412/2016.</w:t>
      </w:r>
    </w:p>
    <w:p>
      <w:pPr>
        <w:pStyle w:val="Default"/>
        <w:widowControl/>
        <w:numPr>
          <w:ilvl w:val="0"/>
          <w:numId w:val="0"/>
        </w:numPr>
        <w:tabs>
          <w:tab w:val="clear" w:pos="720"/>
          <w:tab w:val="left" w:pos="851" w:leader="none"/>
        </w:tabs>
        <w:suppressAutoHyphens w:val="true"/>
        <w:bidi w:val="0"/>
        <w:spacing w:before="240" w:after="27"/>
        <w:ind w:hanging="0" w:left="57" w:right="0"/>
        <w:jc w:val="both"/>
        <w:rPr/>
      </w:pPr>
      <w:r>
        <w:rPr>
          <w:rStyle w:val="fontstyle01"/>
          <w:rFonts w:cs="Calibri" w:cstheme="minorHAnsi"/>
          <w:b/>
          <w:bCs/>
          <w:color w:val="auto"/>
          <w:sz w:val="22"/>
          <w:szCs w:val="22"/>
        </w:rPr>
        <w:t>2.3.3. Ασφαλιστική και Φορολογική ενημερότητα</w:t>
      </w:r>
      <w:r>
        <w:rPr>
          <w:rStyle w:val="fontstyle01"/>
          <w:rFonts w:cs="Calibri" w:cstheme="minorHAnsi"/>
          <w:color w:val="auto"/>
          <w:sz w:val="22"/>
          <w:szCs w:val="22"/>
        </w:rPr>
        <w:t xml:space="preserve"> σύμφωνα με τα οριζόμενα της παραγράφου 2 του άρθρου 73 τουΝ. 4412/2016.</w:t>
      </w:r>
    </w:p>
    <w:p>
      <w:pPr>
        <w:pStyle w:val="Default"/>
        <w:widowControl/>
        <w:numPr>
          <w:ilvl w:val="0"/>
          <w:numId w:val="0"/>
        </w:numPr>
        <w:tabs>
          <w:tab w:val="clear" w:pos="720"/>
          <w:tab w:val="left" w:pos="851" w:leader="none"/>
        </w:tabs>
        <w:suppressAutoHyphens w:val="true"/>
        <w:bidi w:val="0"/>
        <w:spacing w:before="240" w:after="27"/>
        <w:ind w:hanging="0" w:left="57" w:right="0"/>
        <w:jc w:val="both"/>
        <w:rPr/>
      </w:pPr>
      <w:r>
        <w:rPr>
          <w:rStyle w:val="fontstyle01"/>
          <w:rFonts w:cs="Calibri" w:cstheme="minorHAnsi"/>
          <w:b/>
          <w:bCs/>
          <w:color w:val="auto"/>
          <w:sz w:val="22"/>
          <w:szCs w:val="22"/>
        </w:rPr>
        <w:t>2.3.4.</w:t>
      </w:r>
      <w:r>
        <w:rPr>
          <w:rStyle w:val="fontstyle01"/>
          <w:rFonts w:cs="Calibri" w:cstheme="minorHAnsi"/>
          <w:color w:val="auto"/>
          <w:sz w:val="22"/>
          <w:szCs w:val="22"/>
        </w:rPr>
        <w:t xml:space="preserve"> </w:t>
      </w:r>
      <w:r>
        <w:rPr>
          <w:rStyle w:val="fontstyle01"/>
          <w:rFonts w:cs="Calibri" w:cstheme="minorHAnsi"/>
          <w:b/>
          <w:bCs/>
          <w:color w:val="auto"/>
          <w:sz w:val="22"/>
          <w:szCs w:val="22"/>
        </w:rPr>
        <w:t>Πιστοποιητικό ή βεβαίωση του οικείου επαγγελματικού ή εμπορικού μητρώου</w:t>
      </w:r>
      <w:r>
        <w:rPr>
          <w:rStyle w:val="fontstyle01"/>
          <w:rFonts w:cs="Calibri" w:cstheme="minorHAnsi"/>
          <w:color w:val="auto"/>
          <w:sz w:val="22"/>
          <w:szCs w:val="22"/>
        </w:rPr>
        <w:t xml:space="preserve"> με το οποίο να πιστοποιείται αφενός η εγγραφή τους σε αυτό και αφετέρου το ειδικό επάγγελμα τους.</w:t>
      </w:r>
    </w:p>
    <w:p>
      <w:pPr>
        <w:pStyle w:val="Default"/>
        <w:widowControl/>
        <w:numPr>
          <w:ilvl w:val="0"/>
          <w:numId w:val="0"/>
        </w:numPr>
        <w:tabs>
          <w:tab w:val="clear" w:pos="720"/>
          <w:tab w:val="left" w:pos="851" w:leader="none"/>
        </w:tabs>
        <w:suppressAutoHyphens w:val="true"/>
        <w:bidi w:val="0"/>
        <w:spacing w:lineRule="auto" w:line="276" w:before="240" w:after="27"/>
        <w:ind w:hanging="0" w:left="57" w:right="0"/>
        <w:jc w:val="both"/>
        <w:rPr>
          <w:sz w:val="22"/>
          <w:szCs w:val="22"/>
        </w:rPr>
      </w:pPr>
      <w:r>
        <w:rPr>
          <w:rFonts w:eastAsia="Times New Roman" w:cs="Calibri" w:cstheme="minorHAnsi"/>
          <w:b/>
          <w:bCs/>
          <w:sz w:val="22"/>
          <w:szCs w:val="22"/>
          <w:lang w:eastAsia="el-GR"/>
        </w:rPr>
        <w:t>2.3.5.</w:t>
      </w:r>
      <w:r>
        <w:rPr>
          <w:rFonts w:eastAsia="Times New Roman" w:cs="Calibri" w:cstheme="minorHAnsi"/>
          <w:sz w:val="22"/>
          <w:szCs w:val="22"/>
          <w:lang w:eastAsia="el-GR"/>
        </w:rPr>
        <w:t xml:space="preserve"> </w:t>
      </w:r>
      <w:r>
        <w:rPr>
          <w:rFonts w:eastAsia="Times New Roman" w:cs="Calibri" w:cstheme="minorHAnsi"/>
          <w:b/>
          <w:bCs/>
          <w:sz w:val="22"/>
          <w:szCs w:val="22"/>
          <w:lang w:eastAsia="el-GR"/>
        </w:rPr>
        <w:t>Πιστοποιητικό που εκδίδεται από  αρμόδια αρχή,</w:t>
      </w:r>
      <w:r>
        <w:rPr>
          <w:rFonts w:eastAsia="Times New Roman" w:cs="Calibri" w:cstheme="minorHAnsi"/>
          <w:bCs/>
          <w:sz w:val="22"/>
          <w:szCs w:val="22"/>
          <w:lang w:eastAsia="el-GR"/>
        </w:rPr>
        <w:t xml:space="preserve"> στην οποία φαίνεται εάν ο οικονομικός φορέας τελεί υπό πτώχευση ή έχει υπαχθεί σε διαδικασία εξυγίανσης ή ειδικής εκκαθάρισης ή τελεί υπό αναγκαστική διαχείριση από εκκαθαριστή ή από το δικαστήριο ή έχει υπαχθεί σε διαδικασία πτωχευτικού συμβιβασμού ή έχει αναστείλει τις επιχειρηματικές του δραστηριότητες ή εάν βρίσκεται σε οποιαδήποτε ανάλογη κατάσταση προκύπτουσα από παρόμοια διαδικασία, προβλεπόμενη σε εθνικές διατάξεις νόμου. Όπου το έγγραφο ή το πιστοποιητικό αυτό δεν καλύπτει όλες τις περιπτώσεις που αναφέρονται μπορεί να αντικαθίσταται από ένορκη βεβαίωση.</w:t>
      </w:r>
    </w:p>
    <w:p>
      <w:pPr>
        <w:pStyle w:val="Default"/>
        <w:widowControl/>
        <w:numPr>
          <w:ilvl w:val="0"/>
          <w:numId w:val="0"/>
        </w:numPr>
        <w:tabs>
          <w:tab w:val="clear" w:pos="720"/>
          <w:tab w:val="left" w:pos="851" w:leader="none"/>
        </w:tabs>
        <w:suppressAutoHyphens w:val="true"/>
        <w:bidi w:val="0"/>
        <w:spacing w:lineRule="auto" w:line="276" w:before="240" w:after="27"/>
        <w:ind w:hanging="0" w:left="57" w:right="0"/>
        <w:jc w:val="both"/>
        <w:rPr/>
      </w:pPr>
      <w:r>
        <w:rPr>
          <w:rStyle w:val="fontstyle01"/>
          <w:rFonts w:cs="Calibri" w:cstheme="minorHAnsi"/>
          <w:b/>
          <w:bCs/>
          <w:sz w:val="22"/>
          <w:szCs w:val="22"/>
          <w:u w:val="single"/>
        </w:rPr>
        <w:t>2.4. Τεχνική Προσφορά</w:t>
      </w:r>
    </w:p>
    <w:p>
      <w:pPr>
        <w:pStyle w:val="Normal"/>
        <w:widowControl/>
        <w:numPr>
          <w:ilvl w:val="0"/>
          <w:numId w:val="0"/>
        </w:numPr>
        <w:suppressAutoHyphens w:val="true"/>
        <w:bidi w:val="0"/>
        <w:spacing w:lineRule="auto" w:line="276" w:before="0" w:after="200"/>
        <w:ind w:hanging="0" w:left="57" w:right="0"/>
        <w:jc w:val="both"/>
        <w:rPr/>
      </w:pPr>
      <w:r>
        <w:rPr>
          <w:rStyle w:val="fontstyle01"/>
          <w:sz w:val="22"/>
          <w:szCs w:val="22"/>
        </w:rPr>
        <w:t xml:space="preserve">H τεχνική  προσφορά θα πρέπει να καλύπτει όλες τις απαιτήσεις και τις προδιαγραφές που έχουν τεθεί από την αναθέτουσα αρχή σύμφωνα με το Παράρτημα της παρούσας «ΤΕΧΝΙΚΕΣ ΠΡΟΔΙΑΓΡΑΦΕΣ  για την  </w:t>
      </w:r>
      <w:r>
        <w:rPr>
          <w:rStyle w:val="fontstyle01"/>
          <w:rFonts w:eastAsia="Times New Roman" w:cs="Times New Roman"/>
          <w:iCs/>
          <w:kern w:val="2"/>
          <w:sz w:val="22"/>
          <w:szCs w:val="22"/>
          <w:highlight w:val="white"/>
          <w:lang w:eastAsia="el-GR"/>
        </w:rPr>
        <w:t>τοποθέτηση «ΟΚΤΩ ΑΥΤΟΜΑΤΩΝ ΠΩΛΗΤΩΝ ΡΟΦΗΜΑΤΩΝ, ΚΑΙ ΟΚΤΩ ΑΥΤΟΜΑΤΩΝ ΠΩΛΗΤΩΝ ΕΜΦΙΑΛΩΜΕΝΟΥ ΝΕΡΟΥ, ΑΝΑΨΥΚΤΙΚΩΝ, ΠΡΟΧΕΙΡΗΣ ΤΡΟΦΗΣ (</w:t>
      </w:r>
      <w:r>
        <w:rPr>
          <w:rStyle w:val="fontstyle01"/>
          <w:rFonts w:eastAsia="Times New Roman" w:cs="Times New Roman"/>
          <w:iCs/>
          <w:kern w:val="2"/>
          <w:sz w:val="22"/>
          <w:szCs w:val="22"/>
          <w:highlight w:val="white"/>
          <w:lang w:val="en-US" w:eastAsia="el-GR"/>
        </w:rPr>
        <w:t>SNACK</w:t>
      </w:r>
      <w:r>
        <w:rPr>
          <w:rStyle w:val="fontstyle01"/>
          <w:rFonts w:eastAsia="Times New Roman" w:cs="Times New Roman"/>
          <w:iCs/>
          <w:kern w:val="2"/>
          <w:sz w:val="22"/>
          <w:szCs w:val="22"/>
          <w:highlight w:val="white"/>
          <w:lang w:eastAsia="el-GR"/>
        </w:rPr>
        <w:t>)</w:t>
      </w:r>
      <w:r>
        <w:rPr>
          <w:rStyle w:val="fontstyle01"/>
          <w:rFonts w:eastAsia="Times New Roman" w:cs="Calibri"/>
          <w:iCs/>
          <w:kern w:val="2"/>
          <w:sz w:val="22"/>
          <w:szCs w:val="22"/>
          <w:highlight w:val="white"/>
          <w:lang w:eastAsia="el-GR"/>
        </w:rPr>
        <w:t xml:space="preserve"> ΣΤΟΥΣ ΧΩΡΟΥΣ ΤΟΥ Γ.Ν. ΣΕΡΡΩΝ</w:t>
      </w:r>
      <w:r>
        <w:rPr>
          <w:rStyle w:val="fontstyle01"/>
          <w:sz w:val="22"/>
          <w:szCs w:val="22"/>
        </w:rPr>
        <w:t>», περιγράφοντας ακριβώς πως οι συγκεκριμένες απαιτήσεις και προδιαγραφές πληρούνται.</w:t>
      </w:r>
    </w:p>
    <w:p>
      <w:pPr>
        <w:pStyle w:val="Normal"/>
        <w:widowControl/>
        <w:numPr>
          <w:ilvl w:val="0"/>
          <w:numId w:val="0"/>
        </w:numPr>
        <w:suppressAutoHyphens w:val="true"/>
        <w:bidi w:val="0"/>
        <w:spacing w:lineRule="auto" w:line="276" w:before="0" w:after="200"/>
        <w:ind w:hanging="0" w:left="57" w:right="0"/>
        <w:jc w:val="both"/>
        <w:rPr>
          <w:rStyle w:val="fontstyle01"/>
          <w:sz w:val="22"/>
          <w:szCs w:val="22"/>
        </w:rPr>
      </w:pPr>
      <w:r>
        <w:rPr>
          <w:sz w:val="22"/>
          <w:szCs w:val="22"/>
        </w:rPr>
      </w:r>
    </w:p>
    <w:p>
      <w:pPr>
        <w:pStyle w:val="Normal"/>
        <w:widowControl/>
        <w:numPr>
          <w:ilvl w:val="0"/>
          <w:numId w:val="0"/>
        </w:numPr>
        <w:suppressAutoHyphens w:val="true"/>
        <w:bidi w:val="0"/>
        <w:spacing w:lineRule="auto" w:line="276" w:before="0" w:after="200"/>
        <w:ind w:hanging="0" w:left="57" w:right="0"/>
        <w:jc w:val="both"/>
        <w:rPr>
          <w:rStyle w:val="fontstyle01"/>
          <w:sz w:val="22"/>
          <w:szCs w:val="22"/>
        </w:rPr>
      </w:pPr>
      <w:r>
        <w:rPr>
          <w:sz w:val="22"/>
          <w:szCs w:val="22"/>
        </w:rPr>
      </w:r>
    </w:p>
    <w:p>
      <w:pPr>
        <w:pStyle w:val="Default"/>
        <w:widowControl/>
        <w:tabs>
          <w:tab w:val="clear" w:pos="720"/>
          <w:tab w:val="left" w:pos="851" w:leader="none"/>
        </w:tabs>
        <w:suppressAutoHyphens w:val="true"/>
        <w:bidi w:val="0"/>
        <w:spacing w:lineRule="auto" w:line="276" w:before="240" w:after="27"/>
        <w:ind w:hanging="0" w:left="113" w:right="0"/>
        <w:jc w:val="both"/>
        <w:rPr/>
      </w:pPr>
      <w:r>
        <w:rPr>
          <w:rStyle w:val="fontstyle01"/>
          <w:rFonts w:cs="Calibri" w:cstheme="minorHAnsi"/>
          <w:b/>
          <w:bCs/>
          <w:sz w:val="22"/>
          <w:szCs w:val="22"/>
          <w:u w:val="single"/>
        </w:rPr>
        <w:t>2.5. Περιεχόμενο φακέλου «Οικονομική Προσφορά»/ Τρόπος σύνταξης και υποβολής οικονομικών προσφορών</w:t>
      </w:r>
    </w:p>
    <w:p>
      <w:pPr>
        <w:pStyle w:val="Normal"/>
        <w:widowControl/>
        <w:suppressAutoHyphens w:val="true"/>
        <w:bidi w:val="0"/>
        <w:spacing w:lineRule="auto" w:line="276" w:before="0" w:after="200"/>
        <w:ind w:hanging="0" w:left="113" w:right="0"/>
        <w:jc w:val="both"/>
        <w:rPr/>
      </w:pPr>
      <w:r>
        <w:rPr>
          <w:rStyle w:val="fontstyle01"/>
          <w:sz w:val="22"/>
          <w:szCs w:val="22"/>
        </w:rPr>
        <w:t>Η  Οικονομική Προσφορά συντάσσεται  με βάση το αναγραφόμενο στην παρούσα κριτήριο ανάθεσης, όπως ορίζεται στην παρούσα και σύμφωνα με τα οριζόμενα στο Παράρτημα της</w:t>
      </w:r>
      <w:r>
        <w:rPr>
          <w:rStyle w:val="fontstyle01"/>
          <w:rFonts w:cs="Calibri" w:cstheme="minorHAnsi"/>
          <w:b/>
          <w:bCs/>
          <w:sz w:val="22"/>
          <w:szCs w:val="22"/>
          <w:u w:val="single"/>
        </w:rPr>
        <w:t>.</w:t>
      </w:r>
    </w:p>
    <w:p>
      <w:pPr>
        <w:pStyle w:val="Default"/>
        <w:widowControl/>
        <w:tabs>
          <w:tab w:val="clear" w:pos="720"/>
          <w:tab w:val="left" w:pos="851" w:leader="none"/>
        </w:tabs>
        <w:suppressAutoHyphens w:val="true"/>
        <w:bidi w:val="0"/>
        <w:spacing w:lineRule="auto" w:line="276" w:before="240" w:after="27"/>
        <w:ind w:firstLine="57" w:left="57" w:right="0"/>
        <w:jc w:val="both"/>
        <w:rPr/>
      </w:pPr>
      <w:r>
        <w:rPr>
          <w:rStyle w:val="fontstyle01"/>
          <w:rFonts w:cs="Calibri" w:cstheme="minorHAnsi"/>
          <w:b/>
          <w:bCs/>
          <w:sz w:val="22"/>
          <w:szCs w:val="22"/>
          <w:u w:val="none"/>
        </w:rPr>
        <w:t>Τιμές</w:t>
      </w:r>
    </w:p>
    <w:p>
      <w:pPr>
        <w:pStyle w:val="Default"/>
        <w:widowControl/>
        <w:tabs>
          <w:tab w:val="clear" w:pos="720"/>
          <w:tab w:val="left" w:pos="851" w:leader="none"/>
        </w:tabs>
        <w:suppressAutoHyphens w:val="true"/>
        <w:bidi w:val="0"/>
        <w:spacing w:lineRule="auto" w:line="276" w:before="240" w:after="27"/>
        <w:ind w:firstLine="113" w:left="57" w:right="0"/>
        <w:jc w:val="both"/>
        <w:rPr/>
      </w:pPr>
      <w:r>
        <w:rPr>
          <w:rStyle w:val="fontstyle01"/>
          <w:rFonts w:cs="Calibri" w:cstheme="minorHAnsi"/>
          <w:b w:val="false"/>
          <w:bCs w:val="false"/>
          <w:sz w:val="22"/>
          <w:szCs w:val="22"/>
          <w:u w:val="none"/>
        </w:rPr>
        <w:t>Η τιμή για το μηνιαίο τίμημα ανά μηχάνημα θα εκφράζεται σε ευρώ, θα αναγράφετε δε ολογράφως και αριθμητικώς. Προσφορά που δεν εκφράζεται σε ευρώ ή καθορίζει σχέση προς ξένο νόμισμα,θα απορριφθεί.</w:t>
      </w:r>
    </w:p>
    <w:p>
      <w:pPr>
        <w:pStyle w:val="Default"/>
        <w:widowControl/>
        <w:tabs>
          <w:tab w:val="clear" w:pos="720"/>
          <w:tab w:val="left" w:pos="851" w:leader="none"/>
        </w:tabs>
        <w:suppressAutoHyphens w:val="true"/>
        <w:bidi w:val="0"/>
        <w:spacing w:lineRule="auto" w:line="276" w:before="240" w:after="27"/>
        <w:ind w:firstLine="113" w:left="57" w:right="0"/>
        <w:jc w:val="both"/>
        <w:rPr/>
      </w:pPr>
      <w:r>
        <w:rPr>
          <w:rStyle w:val="fontstyle01"/>
          <w:rFonts w:cs="Calibri" w:cstheme="minorHAnsi"/>
          <w:b w:val="false"/>
          <w:bCs w:val="false"/>
          <w:sz w:val="22"/>
          <w:szCs w:val="22"/>
          <w:u w:val="none"/>
        </w:rPr>
        <w:t>Από την οικονομική προσφορά πρέπει να προκύπτει σαφώς η τιμή μηνιαίου μισθώματος υπέρ της Αναθέτουσας αρχής, για κάθε μηχάνημα. Προσφορά από την οποία δεν προκύπτει με σαφήνεια η προσφερόμενη τιμή ή που θέτει όρο αναπροσαρμογής της τιμής, απορρίπτεται ως απαράδεκτη. Το προσφερόμενο μηνιαίο τίμημα ανά μηχάνημα θα είναι δεσμευτικό καθ’ όλη τη διάρκεια της σύμβασης.</w:t>
      </w:r>
    </w:p>
    <w:p>
      <w:pPr>
        <w:pStyle w:val="Normal"/>
        <w:spacing w:lineRule="auto" w:line="240" w:before="0" w:after="0"/>
        <w:jc w:val="both"/>
        <w:rPr>
          <w:rFonts w:cs="Calibri" w:cstheme="minorHAnsi"/>
          <w:b/>
          <w:bCs/>
          <w:sz w:val="22"/>
          <w:szCs w:val="22"/>
        </w:rPr>
      </w:pPr>
      <w:r>
        <w:rPr>
          <w:rFonts w:cs="Calibri" w:cstheme="minorHAnsi"/>
          <w:b/>
          <w:bCs/>
          <w:sz w:val="22"/>
          <w:szCs w:val="22"/>
        </w:rPr>
      </w:r>
    </w:p>
    <w:p>
      <w:pPr>
        <w:pStyle w:val="Normal"/>
        <w:spacing w:lineRule="auto" w:line="240" w:before="0" w:after="0"/>
        <w:jc w:val="both"/>
        <w:rPr>
          <w:sz w:val="22"/>
          <w:szCs w:val="22"/>
        </w:rPr>
      </w:pPr>
      <w:r>
        <w:rPr>
          <w:rFonts w:cs="Calibri" w:cstheme="minorHAnsi"/>
          <w:b/>
          <w:bCs/>
          <w:sz w:val="22"/>
          <w:szCs w:val="22"/>
        </w:rPr>
        <w:t>3. Απαιτήσεις συμμετοχής</w:t>
      </w:r>
    </w:p>
    <w:p>
      <w:pPr>
        <w:pStyle w:val="Normal"/>
        <w:spacing w:lineRule="auto" w:line="240" w:before="0" w:after="0"/>
        <w:jc w:val="both"/>
        <w:rPr>
          <w:sz w:val="22"/>
          <w:szCs w:val="22"/>
        </w:rPr>
      </w:pPr>
      <w:r>
        <w:rPr>
          <w:rFonts w:cs="Calibri" w:cstheme="minorHAnsi"/>
          <w:b/>
          <w:sz w:val="22"/>
          <w:szCs w:val="22"/>
          <w:u w:val="single"/>
        </w:rPr>
        <w:t>-  Προϋποθέσεις συμμετοχής</w:t>
      </w:r>
    </w:p>
    <w:p>
      <w:pPr>
        <w:pStyle w:val="ListParagraph"/>
        <w:numPr>
          <w:ilvl w:val="0"/>
          <w:numId w:val="2"/>
        </w:numPr>
        <w:jc w:val="both"/>
        <w:rPr>
          <w:sz w:val="22"/>
          <w:szCs w:val="22"/>
        </w:rPr>
      </w:pPr>
      <w:r>
        <w:rPr>
          <w:rFonts w:cs="Calibri" w:cstheme="minorHAnsi"/>
          <w:sz w:val="22"/>
          <w:szCs w:val="22"/>
        </w:rPr>
        <w:t>Να μην υπάρχει σε βάρος του οικονομικού φορέα αμετάκλητη καταδικαστική απόφαση για έναν από τους λόγους που προβλέπονται στην παρ. 1 του άρθρου 73 του Ν. 4412/2016,</w:t>
      </w:r>
    </w:p>
    <w:p>
      <w:pPr>
        <w:pStyle w:val="ListParagraph"/>
        <w:numPr>
          <w:ilvl w:val="0"/>
          <w:numId w:val="2"/>
        </w:numPr>
        <w:jc w:val="both"/>
        <w:rPr>
          <w:sz w:val="22"/>
          <w:szCs w:val="22"/>
        </w:rPr>
      </w:pPr>
      <w:r>
        <w:rPr>
          <w:rFonts w:cs="Calibri" w:cstheme="minorHAnsi"/>
          <w:sz w:val="22"/>
          <w:szCs w:val="22"/>
        </w:rPr>
        <w:t>Να μην έχει αθετήσει ο οικονομικός φορέας τις υποχρεώσεις του όσον αφορά στην καταβολή φόρων ή εισφορών κοινωνικής ασφάλισης (τόσο της κύριας όσο και της επικουρικής ασφάλισης),</w:t>
      </w:r>
    </w:p>
    <w:p>
      <w:pPr>
        <w:pStyle w:val="ListParagraph"/>
        <w:numPr>
          <w:ilvl w:val="0"/>
          <w:numId w:val="2"/>
        </w:numPr>
        <w:jc w:val="both"/>
        <w:rPr>
          <w:sz w:val="22"/>
          <w:szCs w:val="22"/>
        </w:rPr>
      </w:pPr>
      <w:r>
        <w:rPr>
          <w:rFonts w:cs="Calibri" w:cstheme="minorHAnsi"/>
          <w:sz w:val="22"/>
          <w:szCs w:val="22"/>
        </w:rPr>
        <w:t>Να μην τελεί ο οικονομικός φορέας υπό πτώχευση ή να μην έχει υπαχθεί σε διαδικασία εξυγίανσης ή ειδικής εκκαθάρισης ή υπό αναγκαστική διαχείριση από εκκαθαριστή ή από το δικαστήριο ή να μην έχει υπαχθεί σε διαδικασία πτωχευτικού συμβιβασμού ή να μην έχει αναστείλει τις επιχειρηματικές του δραστηριότητες ή να μη βρίσκεται σε οποιαδήποτε ανάλογη κατάσταση προκύπτουσα από παρόμοια διαδικασία, προβλεπόμενη σε εθνικές διατάξεις νόμου.</w:t>
      </w:r>
    </w:p>
    <w:p>
      <w:pPr>
        <w:pStyle w:val="ListParagraph"/>
        <w:numPr>
          <w:ilvl w:val="0"/>
          <w:numId w:val="2"/>
        </w:numPr>
        <w:jc w:val="both"/>
        <w:rPr>
          <w:sz w:val="22"/>
          <w:szCs w:val="22"/>
        </w:rPr>
      </w:pPr>
      <w:r>
        <w:rPr>
          <w:rFonts w:cs="Calibri" w:cstheme="minorHAnsi"/>
          <w:sz w:val="22"/>
          <w:szCs w:val="22"/>
        </w:rPr>
        <w:t>Να μην έχει αθετήσει ο οικονομικός φορέας τις ισχύουσες υποχρεώσεις που προβλέπονται στις παρ. 2 και 5του άρθρου 18 του Ν.4412/2016, σύμφωνα με τα ειδικότερα προβλεπόμενα στην παρ. 4 περ. α του άρθρου 73 του Ν.4412/2016.</w:t>
      </w:r>
    </w:p>
    <w:p>
      <w:pPr>
        <w:pStyle w:val="ListParagraph"/>
        <w:numPr>
          <w:ilvl w:val="0"/>
          <w:numId w:val="2"/>
        </w:numPr>
        <w:jc w:val="both"/>
        <w:rPr>
          <w:sz w:val="22"/>
          <w:szCs w:val="22"/>
        </w:rPr>
      </w:pPr>
      <w:r>
        <w:rPr>
          <w:rFonts w:cs="Calibri" w:cstheme="minorHAnsi"/>
          <w:sz w:val="22"/>
          <w:szCs w:val="22"/>
        </w:rPr>
        <w:t>Να μην έχει διαπράξει σοβαρό επαγγελματικό παράπτωμα, οποίο θέτει εν αμφιβόλω την ακεραιότητά του, σύμφωνα με τα ειδικότερα προβλεπόμενα στην παρ. 4 περ. θ του άρθρου 73 του Ν.4412/2016. Ως σοβαρό επαγγελματικό παράπτωμα νοούνται, ιδίως, οι λόγοι που αναφέρονται στην περίπτωση γ της παρ. 2 του άρθρου 68 του ν. 3863/2010 ήτοι ιδίως: αα) Η επιβολή σε βάρος τους, μέσα σε χρονικό διάστημα δύο (2)ετών πριν από τη λήξη της προθεσμίας υποβολής της προσφοράς, τρεις (3) πράξεις επιβολής προστίμου απότα αρμόδια ελεγκτικά όργανα του Σώματος Επιθεώρησης Εργασίας για παραβάσεις της εργατικής νομοθεσίας που χαρακτηρίζονται, σύμφωνα με την υπουργική απόφαση 2063/Δ1632/2011 (Β΄ 266), όπως εκάστοτε ισχύει, ως «υψηλής» ή «πολύ υψηλής» σοβαρότητας, οι οποίες προκύπτουν αθροιστικά, από τρεις(3) διενεργηθέντες ελέγχους ή δύο (2) πράξεις επιβολής προστίμου από τα αρμόδια ελεγκτικά όργανα του Σώματος Επιθεώρησης Εργασίας για παραβάσεις της εργατικής νομοθεσίας που αφορούν την αδήλωτη εργασία, οι οποίες προκύπτουν αθροιστικά από δύο (2) διενεργηθέντες ελέγχους. Η αναθέτουσα αρχή μπορεί να αποκλείσει από τη σύναψη της σύμβασης τις υποψήφιες εταιρείες: αα) οι οποίες έχουν κηρυχθεί έκπτωτες κατ’ εφαρμογή της παραγράφου 7 του παρόντος μέσα σε χρονικό διάστημα τριών (3) ετών πριν από την ημερομηνία λήξης της προθεσμίας υποβολής της προσφοράς ή ββ)στις οποίες έχει επιβληθεί η κύρωση της προσωρινής διακοπής της λειτουργίας συγκεκριμένης παραγωγικής διαδικασίας ή τμήματος ή τμημάτων ή του συνόλου της επιχείρησης ή εκμετάλλευσης κατ’ εφαρμογή της παρ. 1Β του άρθρου 24 του ν. 3996/2011 (Α΄ 170) μέσα σε χρονικό διάστημα τριών (3) ετών πριν από την ημερομηνία λήξης της προθεσμίας υποβολής της προσφοράς.</w:t>
      </w:r>
    </w:p>
    <w:p>
      <w:pPr>
        <w:pStyle w:val="ListParagraph"/>
        <w:numPr>
          <w:ilvl w:val="0"/>
          <w:numId w:val="2"/>
        </w:numPr>
        <w:spacing w:before="0" w:after="240"/>
        <w:contextualSpacing/>
        <w:jc w:val="both"/>
        <w:rPr>
          <w:sz w:val="22"/>
          <w:szCs w:val="22"/>
        </w:rPr>
      </w:pPr>
      <w:r>
        <w:rPr>
          <w:rFonts w:cs="Calibri" w:cstheme="minorHAnsi"/>
          <w:sz w:val="22"/>
          <w:szCs w:val="22"/>
        </w:rPr>
        <w:t>Να μην τους έχει επιβληθεί η ποινή αποκλεισμού από διαγωνισμούς και γενικότερα από τη σύναψη δημοσίων συμβάσεων, με αμετάκλητη απόφαση αρμόδιου οργάνου.</w:t>
      </w:r>
    </w:p>
    <w:p>
      <w:pPr>
        <w:pStyle w:val="Normal"/>
        <w:spacing w:lineRule="auto" w:line="360" w:before="0" w:after="0"/>
        <w:ind w:left="-142"/>
        <w:jc w:val="both"/>
        <w:rPr>
          <w:sz w:val="22"/>
          <w:szCs w:val="22"/>
        </w:rPr>
      </w:pPr>
      <w:r>
        <w:rPr>
          <w:rFonts w:cs="Calibri" w:cstheme="minorHAnsi"/>
          <w:b/>
          <w:bCs/>
          <w:color w:val="000000"/>
          <w:sz w:val="22"/>
          <w:szCs w:val="22"/>
        </w:rPr>
        <w:t xml:space="preserve">                                                                                   </w:t>
      </w:r>
    </w:p>
    <w:p>
      <w:pPr>
        <w:pStyle w:val="Normal"/>
        <w:rPr>
          <w:sz w:val="22"/>
          <w:szCs w:val="22"/>
          <w:u w:val="single"/>
        </w:rPr>
      </w:pPr>
      <w:r>
        <w:rPr>
          <w:b/>
          <w:bCs/>
          <w:sz w:val="22"/>
          <w:szCs w:val="22"/>
          <w:u w:val="single"/>
        </w:rPr>
        <w:t>4. Ισχύς προσφοράς</w:t>
      </w:r>
    </w:p>
    <w:p>
      <w:pPr>
        <w:pStyle w:val="Default"/>
        <w:tabs>
          <w:tab w:val="clear" w:pos="720"/>
          <w:tab w:val="left" w:pos="1134" w:leader="none"/>
        </w:tabs>
        <w:spacing w:lineRule="auto" w:line="276" w:before="0" w:after="27"/>
        <w:jc w:val="both"/>
        <w:rPr>
          <w:sz w:val="22"/>
          <w:szCs w:val="22"/>
        </w:rPr>
      </w:pPr>
      <w:r>
        <w:rPr>
          <w:rFonts w:cs="Calibri" w:cstheme="minorHAnsi"/>
          <w:sz w:val="22"/>
          <w:szCs w:val="22"/>
        </w:rPr>
        <w:t xml:space="preserve">Η προσφορά ισχύει  </w:t>
      </w:r>
      <w:r>
        <w:rPr>
          <w:rFonts w:cs="Calibri" w:cstheme="minorHAnsi"/>
          <w:color w:val="auto"/>
          <w:sz w:val="22"/>
          <w:szCs w:val="22"/>
        </w:rPr>
        <w:t xml:space="preserve">για </w:t>
      </w:r>
      <w:r>
        <w:rPr>
          <w:rFonts w:cs="Calibri" w:cstheme="minorHAnsi"/>
          <w:b/>
          <w:bCs/>
          <w:color w:val="auto"/>
          <w:sz w:val="22"/>
          <w:szCs w:val="22"/>
        </w:rPr>
        <w:t xml:space="preserve">εκατόν ογδόντα (180) </w:t>
      </w:r>
      <w:r>
        <w:rPr>
          <w:rFonts w:cs="Calibri" w:cstheme="minorHAnsi"/>
          <w:b/>
          <w:color w:val="auto"/>
          <w:sz w:val="22"/>
          <w:szCs w:val="22"/>
        </w:rPr>
        <w:t>μέρες</w:t>
      </w:r>
      <w:r>
        <w:rPr>
          <w:rFonts w:cs="Calibri" w:cstheme="minorHAnsi"/>
          <w:sz w:val="22"/>
          <w:szCs w:val="22"/>
        </w:rPr>
        <w:t xml:space="preserve"> από την επομένη της καταληκτικής ημερομηνίας υποβολής προσφοράς. </w:t>
      </w:r>
    </w:p>
    <w:p>
      <w:pPr>
        <w:pStyle w:val="Default"/>
        <w:tabs>
          <w:tab w:val="clear" w:pos="720"/>
          <w:tab w:val="left" w:pos="1134" w:leader="none"/>
        </w:tabs>
        <w:spacing w:before="240" w:after="27"/>
        <w:jc w:val="both"/>
        <w:rPr>
          <w:sz w:val="22"/>
          <w:szCs w:val="22"/>
        </w:rPr>
      </w:pPr>
      <w:r>
        <w:rPr>
          <w:rFonts w:cs="Calibri" w:cstheme="minorHAnsi"/>
          <w:b/>
          <w:bCs/>
          <w:color w:val="auto"/>
          <w:sz w:val="22"/>
          <w:szCs w:val="22"/>
          <w:u w:val="single"/>
        </w:rPr>
        <w:t>5. Αποσφράγηση και Αξιολόγηση προσφορών</w:t>
      </w:r>
    </w:p>
    <w:p>
      <w:pPr>
        <w:pStyle w:val="Default"/>
        <w:tabs>
          <w:tab w:val="clear" w:pos="720"/>
          <w:tab w:val="left" w:pos="1134" w:leader="none"/>
        </w:tabs>
        <w:spacing w:before="240" w:after="27"/>
        <w:jc w:val="both"/>
        <w:rPr>
          <w:sz w:val="22"/>
          <w:szCs w:val="22"/>
        </w:rPr>
      </w:pPr>
      <w:r>
        <w:rPr>
          <w:rFonts w:cs="Calibri" w:cstheme="minorHAnsi"/>
          <w:b w:val="false"/>
          <w:bCs w:val="false"/>
          <w:color w:val="auto"/>
          <w:sz w:val="22"/>
          <w:szCs w:val="22"/>
          <w:u w:val="none"/>
        </w:rPr>
        <w:t xml:space="preserve">Η Επιτροπή Διαγωνισμού στην καθορισμένη από την παρούσα ημέρα και ώρα, αποσφραγίζει τον κυρίως φάκελο και στην συνέχεια, τους φακέλους δικαιολογητικών συμμετοχής, των τεχνικών προδιαγραφών και της οικονομικής προσφοράς.  Στη συνέχεια προβαίνει στον έλεγχο και στην  αξιολόγηση τους. Η Επιτροπή  συντάσσει πρακτικό το οποίο διαβιβάζει στο αποφασιστικό όργανο της Αναθέτουσας αρχής, μέσω του Τμήματος Προμηθειών, για την έκδοση κατακυρωτικής Απόφασης. </w:t>
      </w:r>
    </w:p>
    <w:p>
      <w:pPr>
        <w:pStyle w:val="Default"/>
        <w:rPr>
          <w:sz w:val="22"/>
          <w:szCs w:val="22"/>
        </w:rPr>
      </w:pPr>
      <w:r>
        <w:rPr>
          <w:sz w:val="22"/>
          <w:szCs w:val="22"/>
        </w:rPr>
      </w:r>
    </w:p>
    <w:tbl>
      <w:tblPr>
        <w:tblW w:w="1041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10418"/>
      </w:tblGrid>
      <w:tr>
        <w:trPr>
          <w:trHeight w:val="7695" w:hRule="atLeast"/>
        </w:trPr>
        <w:tc>
          <w:tcPr>
            <w:tcW w:w="10418" w:type="dxa"/>
            <w:tcBorders/>
          </w:tcPr>
          <w:p>
            <w:pPr>
              <w:pStyle w:val="Normal"/>
              <w:rPr>
                <w:sz w:val="22"/>
                <w:szCs w:val="22"/>
              </w:rPr>
            </w:pPr>
            <w:r>
              <w:rPr>
                <w:sz w:val="22"/>
                <w:szCs w:val="22"/>
              </w:rPr>
            </w:r>
          </w:p>
          <w:p>
            <w:pPr>
              <w:pStyle w:val="Default"/>
              <w:tabs>
                <w:tab w:val="clear" w:pos="720"/>
                <w:tab w:val="left" w:pos="851" w:leader="none"/>
                <w:tab w:val="left" w:pos="1134" w:leader="none"/>
              </w:tabs>
              <w:spacing w:lineRule="auto" w:line="276"/>
              <w:jc w:val="both"/>
              <w:rPr>
                <w:sz w:val="22"/>
                <w:szCs w:val="22"/>
              </w:rPr>
            </w:pPr>
            <w:r>
              <w:rPr>
                <w:rFonts w:cs="Calibri" w:cstheme="minorHAnsi"/>
                <w:b/>
                <w:bCs/>
                <w:sz w:val="22"/>
                <w:szCs w:val="22"/>
                <w:u w:val="single"/>
              </w:rPr>
              <w:t>6.</w:t>
            </w:r>
            <w:r>
              <w:rPr>
                <w:rFonts w:cs="Calibri" w:cstheme="minorHAnsi"/>
                <w:sz w:val="22"/>
                <w:szCs w:val="22"/>
                <w:u w:val="single"/>
              </w:rPr>
              <w:t xml:space="preserve"> Χ</w:t>
            </w:r>
            <w:r>
              <w:rPr>
                <w:rFonts w:cs="Calibri" w:cstheme="minorHAnsi"/>
                <w:b/>
                <w:bCs/>
                <w:sz w:val="22"/>
                <w:szCs w:val="22"/>
                <w:u w:val="single"/>
              </w:rPr>
              <w:t>ρόνος παράδοσης και παραλαβής του αντικειμένου της σύμβασης</w:t>
            </w:r>
          </w:p>
          <w:p>
            <w:pPr>
              <w:pStyle w:val="Default"/>
              <w:tabs>
                <w:tab w:val="clear" w:pos="720"/>
                <w:tab w:val="left" w:pos="851" w:leader="none"/>
                <w:tab w:val="left" w:pos="1134" w:leader="none"/>
              </w:tabs>
              <w:spacing w:lineRule="auto" w:line="276"/>
              <w:jc w:val="both"/>
              <w:rPr/>
            </w:pPr>
            <w:r>
              <w:rPr>
                <w:rStyle w:val="fontstyle01"/>
                <w:rFonts w:cs="Calibri" w:cstheme="minorHAnsi"/>
                <w:color w:val="000009"/>
                <w:sz w:val="22"/>
                <w:szCs w:val="22"/>
                <w:lang w:eastAsia="el-GR"/>
              </w:rPr>
              <w:t>Η παράδοση των μηχανημάτων θα γίνει σε χρονικό διάστημα ενός (1) μηνός από την υπογραφή της σύμβασης.</w:t>
            </w:r>
          </w:p>
          <w:p>
            <w:pPr>
              <w:pStyle w:val="Default"/>
              <w:tabs>
                <w:tab w:val="clear" w:pos="720"/>
                <w:tab w:val="left" w:pos="851" w:leader="none"/>
                <w:tab w:val="left" w:pos="1134" w:leader="none"/>
              </w:tabs>
              <w:spacing w:lineRule="auto" w:line="276"/>
              <w:jc w:val="both"/>
              <w:rPr/>
            </w:pPr>
            <w:r>
              <w:rPr>
                <w:rStyle w:val="fontstyle01"/>
                <w:rFonts w:cs="Calibri" w:cstheme="minorHAnsi"/>
                <w:color w:val="000009"/>
                <w:sz w:val="22"/>
                <w:szCs w:val="22"/>
                <w:u w:val="none"/>
                <w:lang w:eastAsia="el-GR"/>
              </w:rPr>
              <w:t>Τα έξοδα προετοιμασίας και μεταφοράς των προς προμήθεια ειδών στην έδρα του Νοσοκομείου θα επιβαρύνουν,αποκλειστικά, τον Πλειοδότη.</w:t>
            </w:r>
          </w:p>
          <w:p>
            <w:pPr>
              <w:pStyle w:val="Default"/>
              <w:tabs>
                <w:tab w:val="clear" w:pos="720"/>
                <w:tab w:val="left" w:pos="851" w:leader="none"/>
                <w:tab w:val="left" w:pos="1134" w:leader="none"/>
              </w:tabs>
              <w:spacing w:lineRule="auto" w:line="276"/>
              <w:jc w:val="both"/>
              <w:rPr>
                <w:sz w:val="22"/>
                <w:szCs w:val="22"/>
              </w:rPr>
            </w:pPr>
            <w:r>
              <w:rPr>
                <w:b/>
                <w:sz w:val="22"/>
                <w:szCs w:val="22"/>
                <w:u w:val="single"/>
              </w:rPr>
              <w:t>7. Τροποποίηση σύμβασης κατά τη διάρκειά της</w:t>
            </w:r>
          </w:p>
          <w:p>
            <w:pPr>
              <w:pStyle w:val="Normal"/>
              <w:spacing w:before="0" w:after="0"/>
              <w:jc w:val="both"/>
              <w:rPr>
                <w:sz w:val="22"/>
                <w:szCs w:val="22"/>
              </w:rPr>
            </w:pPr>
            <w:r>
              <w:rPr>
                <w:rFonts w:cs="Calibri" w:cstheme="minorHAnsi"/>
                <w:color w:val="000000"/>
                <w:sz w:val="22"/>
                <w:szCs w:val="22"/>
                <w:lang w:eastAsia="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pPr>
              <w:pStyle w:val="Normal"/>
              <w:spacing w:before="0" w:after="0"/>
              <w:jc w:val="both"/>
              <w:rPr>
                <w:rFonts w:cs="Calibri" w:cstheme="minorHAnsi"/>
                <w:color w:val="000000"/>
                <w:lang w:eastAsia="el-GR"/>
              </w:rPr>
            </w:pPr>
            <w:r>
              <w:rPr>
                <w:rFonts w:cs="Calibri" w:cstheme="minorHAnsi"/>
                <w:color w:val="000000"/>
                <w:lang w:eastAsia="el-GR"/>
              </w:rPr>
            </w:r>
          </w:p>
          <w:p>
            <w:pPr>
              <w:pStyle w:val="Default"/>
              <w:tabs>
                <w:tab w:val="clear" w:pos="720"/>
                <w:tab w:val="left" w:pos="851" w:leader="none"/>
                <w:tab w:val="left" w:pos="1134" w:leader="none"/>
              </w:tabs>
              <w:spacing w:before="240" w:after="27"/>
              <w:jc w:val="both"/>
              <w:rPr>
                <w:sz w:val="22"/>
                <w:szCs w:val="22"/>
              </w:rPr>
            </w:pPr>
            <w:r>
              <w:rPr>
                <w:rFonts w:cs="Calibri" w:cstheme="minorHAnsi"/>
                <w:b/>
                <w:bCs/>
                <w:sz w:val="22"/>
                <w:szCs w:val="22"/>
                <w:u w:val="single"/>
                <w:lang w:eastAsia="el-GR"/>
              </w:rPr>
              <w:t>8. Ειδικοί όροι εκτέλεσης της σύμβασης</w:t>
            </w:r>
          </w:p>
          <w:p>
            <w:pPr>
              <w:pStyle w:val="Default"/>
              <w:tabs>
                <w:tab w:val="clear" w:pos="720"/>
                <w:tab w:val="left" w:pos="851" w:leader="none"/>
                <w:tab w:val="left" w:pos="1134" w:leader="none"/>
              </w:tabs>
              <w:spacing w:before="240" w:after="27"/>
              <w:jc w:val="both"/>
              <w:rPr>
                <w:sz w:val="22"/>
                <w:szCs w:val="22"/>
              </w:rPr>
            </w:pPr>
            <w:r>
              <w:rPr>
                <w:rFonts w:cs="Calibri" w:cstheme="minorHAnsi"/>
                <w:b w:val="false"/>
                <w:bCs w:val="false"/>
                <w:sz w:val="22"/>
                <w:szCs w:val="22"/>
                <w:u w:val="none"/>
                <w:lang w:eastAsia="el-GR"/>
              </w:rPr>
              <w:t>Όλες οι πληρωμές θα γίνονται σε ευρώ (€). Ο Πλειοδότης θα καταβάλει το προβλεπόμενο από τη σύμβαση μηνιαίο τίμημα εντός του πρώτου δακαημέρου κάθε μήνα στο ταμείο του Νοσοκομείου ή στον τραπεζικό λογαριασμό του Νοσοκομείου και θα λαμβάνει ισόποση απόδειξη.</w:t>
            </w:r>
          </w:p>
          <w:p>
            <w:pPr>
              <w:pStyle w:val="Default"/>
              <w:tabs>
                <w:tab w:val="clear" w:pos="720"/>
                <w:tab w:val="left" w:pos="851" w:leader="none"/>
                <w:tab w:val="left" w:pos="1134" w:leader="none"/>
              </w:tabs>
              <w:spacing w:before="240" w:after="27"/>
              <w:jc w:val="both"/>
              <w:rPr>
                <w:sz w:val="22"/>
                <w:szCs w:val="22"/>
              </w:rPr>
            </w:pPr>
            <w:r>
              <w:rPr>
                <w:b w:val="false"/>
                <w:bCs w:val="false"/>
                <w:sz w:val="22"/>
                <w:szCs w:val="22"/>
                <w:u w:val="none"/>
              </w:rPr>
              <w:t>Καθυστέρηση καταβολής του μισθώματος πέραν των πέντε (5) ημερών αποτελεί παράβαση των όρων της σύμβασης. Σε αυτήν την περίπτωση το Δ.Σ. του Νοσοκομείου μπορεί να επιβάλλει πρόστιμο μέχρι το διπλάσιο του οφειλόμενου τιμήματος.</w:t>
            </w:r>
          </w:p>
          <w:p>
            <w:pPr>
              <w:pStyle w:val="Default"/>
              <w:tabs>
                <w:tab w:val="clear" w:pos="720"/>
                <w:tab w:val="left" w:pos="851" w:leader="none"/>
                <w:tab w:val="left" w:pos="1134" w:leader="none"/>
              </w:tabs>
              <w:spacing w:before="240" w:after="27"/>
              <w:jc w:val="both"/>
              <w:rPr>
                <w:sz w:val="22"/>
                <w:szCs w:val="22"/>
              </w:rPr>
            </w:pPr>
            <w:r>
              <w:rPr/>
            </w:r>
          </w:p>
        </w:tc>
      </w:tr>
    </w:tbl>
    <w:p>
      <w:pPr>
        <w:pStyle w:val="Normal"/>
        <w:spacing w:before="0" w:after="0"/>
        <w:rPr>
          <w:rFonts w:ascii="Calibri" w:hAnsi="Calibri" w:cs="Calibri" w:cstheme="minorHAnsi"/>
          <w:b/>
          <w:bCs/>
          <w:sz w:val="22"/>
          <w:szCs w:val="22"/>
          <w:u w:val="single"/>
          <w:lang w:eastAsia="el-GR"/>
        </w:rPr>
      </w:pPr>
      <w:r>
        <w:rPr>
          <w:rFonts w:cs="Calibri" w:cstheme="minorHAnsi"/>
          <w:b/>
          <w:bCs/>
          <w:sz w:val="22"/>
          <w:szCs w:val="22"/>
          <w:u w:val="single"/>
          <w:lang w:eastAsia="el-GR"/>
        </w:rPr>
      </w:r>
    </w:p>
    <w:p>
      <w:pPr>
        <w:pStyle w:val="Normal"/>
        <w:spacing w:lineRule="auto" w:line="240"/>
        <w:ind w:right="-108"/>
        <w:rPr/>
      </w:pPr>
      <w:r>
        <w:rPr>
          <w:rFonts w:eastAsia="Calibri" w:cs="Calibri" w:cstheme="minorHAnsi"/>
          <w:b/>
          <w:iCs/>
          <w:sz w:val="22"/>
          <w:szCs w:val="22"/>
          <w:u w:val="single"/>
        </w:rPr>
        <w:t>Η παρούσα</w:t>
      </w:r>
      <w:r>
        <w:rPr>
          <w:rStyle w:val="fontstyle01"/>
          <w:rFonts w:cs="Calibri" w:cstheme="minorHAnsi"/>
          <w:sz w:val="22"/>
          <w:szCs w:val="22"/>
          <w:u w:val="single"/>
        </w:rPr>
        <w:t xml:space="preserve"> </w:t>
      </w:r>
      <w:r>
        <w:rPr>
          <w:rStyle w:val="fontstyle01"/>
          <w:rFonts w:cs="Calibri" w:cstheme="minorHAnsi"/>
          <w:b/>
          <w:sz w:val="22"/>
          <w:szCs w:val="22"/>
          <w:u w:val="single"/>
        </w:rPr>
        <w:t xml:space="preserve">πρόσκληση </w:t>
      </w:r>
      <w:r>
        <w:rPr>
          <w:rFonts w:eastAsia="Calibri" w:cs="Calibri" w:cstheme="minorHAnsi"/>
          <w:b/>
          <w:iCs/>
          <w:sz w:val="22"/>
          <w:szCs w:val="22"/>
          <w:u w:val="single"/>
        </w:rPr>
        <w:t>αναρτάται:</w:t>
      </w:r>
    </w:p>
    <w:p>
      <w:pPr>
        <w:pStyle w:val="Normal"/>
        <w:numPr>
          <w:ilvl w:val="0"/>
          <w:numId w:val="1"/>
        </w:numPr>
        <w:spacing w:before="0" w:after="0"/>
        <w:ind w:hanging="284" w:left="318"/>
        <w:contextualSpacing/>
        <w:jc w:val="both"/>
        <w:rPr>
          <w:sz w:val="22"/>
          <w:szCs w:val="22"/>
        </w:rPr>
      </w:pPr>
      <w:r>
        <w:rPr>
          <w:rFonts w:eastAsia="Calibri" w:cs="Calibri" w:cstheme="minorHAnsi"/>
          <w:iCs/>
          <w:sz w:val="22"/>
          <w:szCs w:val="22"/>
          <w:lang w:eastAsia="el-GR"/>
        </w:rPr>
        <w:t>στο Κεντρικό Ηλεκτρονικό Μητρώο Δημοσίων Συμβάσεων της Γενικής Γραμματείας Εμπορίου (Κ.Η.Μ.ΔΗ.Σ.)</w:t>
      </w:r>
    </w:p>
    <w:p>
      <w:pPr>
        <w:pStyle w:val="Normal"/>
        <w:numPr>
          <w:ilvl w:val="0"/>
          <w:numId w:val="1"/>
        </w:numPr>
        <w:spacing w:before="0" w:after="0"/>
        <w:ind w:hanging="284" w:left="318"/>
        <w:contextualSpacing/>
        <w:jc w:val="both"/>
        <w:rPr>
          <w:sz w:val="22"/>
          <w:szCs w:val="22"/>
        </w:rPr>
      </w:pPr>
      <w:r>
        <w:rPr>
          <w:rFonts w:eastAsia="Calibri" w:cs="Calibri" w:cstheme="minorHAnsi"/>
          <w:sz w:val="22"/>
          <w:szCs w:val="22"/>
          <w:lang w:eastAsia="el-GR"/>
        </w:rPr>
        <w:t xml:space="preserve">στη Διαδικτυακή Διεύθυνση </w:t>
      </w:r>
      <w:r>
        <w:rPr>
          <w:rFonts w:eastAsia="Calibri" w:cs="Calibri" w:cstheme="minorHAnsi"/>
          <w:iCs/>
          <w:sz w:val="22"/>
          <w:szCs w:val="22"/>
          <w:lang w:eastAsia="el-GR"/>
        </w:rPr>
        <w:t>του Γ.Ν. Σερρών</w:t>
      </w:r>
    </w:p>
    <w:p>
      <w:pPr>
        <w:pStyle w:val="Default"/>
        <w:tabs>
          <w:tab w:val="clear" w:pos="720"/>
          <w:tab w:val="left" w:pos="851" w:leader="none"/>
          <w:tab w:val="left" w:pos="1134" w:leader="none"/>
        </w:tabs>
        <w:spacing w:before="0" w:after="27"/>
        <w:ind w:left="284"/>
        <w:jc w:val="both"/>
        <w:rPr>
          <w:rFonts w:cs="Calibri" w:cstheme="minorHAnsi"/>
          <w:sz w:val="22"/>
          <w:szCs w:val="22"/>
        </w:rPr>
      </w:pPr>
      <w:r>
        <w:rPr>
          <w:rFonts w:cs="Calibri" w:cstheme="minorHAnsi"/>
          <w:sz w:val="22"/>
          <w:szCs w:val="22"/>
        </w:rPr>
      </w:r>
    </w:p>
    <w:p>
      <w:pPr>
        <w:pStyle w:val="Default"/>
        <w:tabs>
          <w:tab w:val="clear" w:pos="720"/>
          <w:tab w:val="left" w:pos="851" w:leader="none"/>
          <w:tab w:val="left" w:pos="1134" w:leader="none"/>
        </w:tabs>
        <w:spacing w:before="0" w:after="27"/>
        <w:ind w:left="284"/>
        <w:jc w:val="both"/>
        <w:rPr/>
      </w:pPr>
      <w:r>
        <w:rPr>
          <w:rStyle w:val="fontstyle01"/>
          <w:rFonts w:cs="Calibri" w:cstheme="minorHAnsi"/>
          <w:sz w:val="22"/>
          <w:szCs w:val="22"/>
        </w:rPr>
        <w:t>Παραμένουμε στη διάθεσή σας για οποιαδήποτε περαιτέρω διευκρίνιση.</w:t>
      </w:r>
    </w:p>
    <w:p>
      <w:pPr>
        <w:pStyle w:val="Normal"/>
        <w:widowControl w:val="false"/>
        <w:ind w:left="6480"/>
        <w:jc w:val="both"/>
        <w:rPr>
          <w:sz w:val="22"/>
          <w:szCs w:val="22"/>
        </w:rPr>
      </w:pPr>
      <w:r>
        <w:rPr>
          <w:sz w:val="22"/>
          <w:szCs w:val="22"/>
        </w:rPr>
      </w:r>
    </w:p>
    <w:p>
      <w:pPr>
        <w:pStyle w:val="Normal"/>
        <w:widowControl w:val="false"/>
        <w:ind w:left="6480"/>
        <w:jc w:val="both"/>
        <w:rPr>
          <w:sz w:val="22"/>
          <w:szCs w:val="22"/>
        </w:rPr>
      </w:pPr>
      <w:r>
        <w:rPr>
          <w:sz w:val="22"/>
          <w:szCs w:val="22"/>
        </w:rPr>
      </w:r>
    </w:p>
    <w:p>
      <w:pPr>
        <w:pStyle w:val="Normal"/>
        <w:widowControl w:val="false"/>
        <w:ind w:left="6480"/>
        <w:jc w:val="both"/>
        <w:rPr>
          <w:sz w:val="22"/>
          <w:szCs w:val="22"/>
        </w:rPr>
      </w:pPr>
      <w:r>
        <w:rPr>
          <w:sz w:val="22"/>
          <w:szCs w:val="22"/>
        </w:rPr>
      </w:r>
    </w:p>
    <w:p>
      <w:pPr>
        <w:pStyle w:val="Normal"/>
        <w:widowControl w:val="false"/>
        <w:ind w:left="6480"/>
        <w:jc w:val="both"/>
        <w:rPr>
          <w:sz w:val="22"/>
          <w:szCs w:val="22"/>
        </w:rPr>
      </w:pPr>
      <w:r>
        <w:rPr>
          <w:sz w:val="22"/>
          <w:szCs w:val="22"/>
        </w:rPr>
      </w:r>
    </w:p>
    <w:p>
      <w:pPr>
        <w:pStyle w:val="Normal"/>
        <w:widowControl w:val="false"/>
        <w:jc w:val="both"/>
        <w:rPr>
          <w:sz w:val="22"/>
          <w:szCs w:val="22"/>
        </w:rPr>
      </w:pPr>
      <w:r>
        <w:rPr>
          <w:rFonts w:eastAsia="NSimSun" w:cs="Calibri" w:cstheme="minorHAnsi"/>
          <w:b/>
          <w:bCs/>
          <w:kern w:val="2"/>
          <w:sz w:val="22"/>
          <w:szCs w:val="22"/>
          <w:lang w:bidi="hi-IN"/>
        </w:rPr>
        <w:t xml:space="preserve">                                                                                                                                 </w:t>
      </w:r>
      <w:r>
        <w:rPr>
          <w:rFonts w:eastAsia="NSimSun" w:cs="Calibri" w:cstheme="minorHAnsi"/>
          <w:b/>
          <w:bCs/>
          <w:kern w:val="2"/>
          <w:sz w:val="22"/>
          <w:szCs w:val="22"/>
          <w:lang w:bidi="hi-IN"/>
        </w:rPr>
        <w:t>Ο  ΔΙΟΙΚΗΤΗΣ ΤΟΥ Γ.Ν. ΣΕΡΡΩΝ</w:t>
      </w:r>
    </w:p>
    <w:p>
      <w:pPr>
        <w:pStyle w:val="Default"/>
        <w:tabs>
          <w:tab w:val="clear" w:pos="720"/>
          <w:tab w:val="left" w:pos="851" w:leader="none"/>
          <w:tab w:val="left" w:pos="1134" w:leader="none"/>
        </w:tabs>
        <w:spacing w:before="0" w:after="27"/>
        <w:ind w:left="7200"/>
        <w:jc w:val="both"/>
        <w:rPr>
          <w:sz w:val="22"/>
          <w:szCs w:val="22"/>
        </w:rPr>
      </w:pPr>
      <w:r>
        <w:rPr>
          <w:rFonts w:eastAsia="NSimSun" w:cs="Calibri" w:cstheme="minorHAnsi"/>
          <w:b/>
          <w:bCs/>
          <w:color w:val="auto"/>
          <w:kern w:val="2"/>
          <w:sz w:val="22"/>
          <w:szCs w:val="22"/>
          <w:lang w:bidi="hi-IN"/>
        </w:rPr>
        <w:t xml:space="preserve">     </w:t>
      </w:r>
    </w:p>
    <w:p>
      <w:pPr>
        <w:pStyle w:val="Default"/>
        <w:tabs>
          <w:tab w:val="clear" w:pos="720"/>
          <w:tab w:val="left" w:pos="851" w:leader="none"/>
          <w:tab w:val="left" w:pos="1134" w:leader="none"/>
        </w:tabs>
        <w:spacing w:before="0" w:after="27"/>
        <w:ind w:left="7200"/>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tabs>
          <w:tab w:val="clear" w:pos="720"/>
          <w:tab w:val="left" w:pos="851" w:leader="none"/>
          <w:tab w:val="left" w:pos="1134" w:leader="none"/>
        </w:tabs>
        <w:spacing w:before="0" w:after="27"/>
        <w:jc w:val="both"/>
        <w:rPr/>
      </w:pPr>
      <w:r>
        <w:rPr>
          <w:rStyle w:val="fontstyle01"/>
          <w:rFonts w:cs="Calibri" w:cstheme="minorHAnsi"/>
          <w:color w:val="auto"/>
          <w:sz w:val="22"/>
          <w:szCs w:val="22"/>
        </w:rPr>
        <w:t xml:space="preserve">                                                                                                                                       </w:t>
      </w:r>
      <w:r>
        <w:rPr>
          <w:rStyle w:val="fontstyle01"/>
          <w:rFonts w:cs="Calibri" w:cstheme="minorHAnsi"/>
          <w:b/>
          <w:bCs/>
          <w:color w:val="auto"/>
          <w:sz w:val="22"/>
          <w:szCs w:val="22"/>
        </w:rPr>
        <w:t xml:space="preserve">ΦΑΡΜΑΚΗΣ ΝΙΚΟΛΑΟΣ  </w:t>
      </w:r>
    </w:p>
    <w:p>
      <w:pPr>
        <w:pStyle w:val="Default"/>
        <w:tabs>
          <w:tab w:val="clear" w:pos="720"/>
          <w:tab w:val="left" w:pos="851" w:leader="none"/>
          <w:tab w:val="left" w:pos="1134" w:leader="none"/>
        </w:tabs>
        <w:spacing w:before="0" w:after="27"/>
        <w:jc w:val="both"/>
        <w:rPr>
          <w:rFonts w:cs="Calibri" w:cstheme="minorHAnsi"/>
          <w:b/>
          <w:bCs/>
        </w:rPr>
      </w:pPr>
      <w:r>
        <w:rPr>
          <w:rFonts w:cs="Calibri" w:cstheme="minorHAnsi"/>
          <w:b/>
          <w:bCs/>
        </w:rPr>
      </w:r>
    </w:p>
    <w:p>
      <w:pPr>
        <w:pStyle w:val="Default"/>
        <w:tabs>
          <w:tab w:val="clear" w:pos="720"/>
          <w:tab w:val="left" w:pos="851" w:leader="none"/>
          <w:tab w:val="left" w:pos="1134" w:leader="none"/>
        </w:tabs>
        <w:spacing w:before="0" w:after="27"/>
        <w:jc w:val="both"/>
        <w:rPr>
          <w:rFonts w:cs="Calibri" w:cstheme="minorHAnsi"/>
          <w:b/>
          <w:bCs/>
        </w:rPr>
      </w:pPr>
      <w:r>
        <w:rPr>
          <w:rFonts w:cs="Calibri" w:cstheme="minorHAnsi"/>
          <w:b/>
          <w:bCs/>
        </w:rPr>
      </w:r>
    </w:p>
    <w:p>
      <w:pPr>
        <w:pStyle w:val="Default"/>
        <w:tabs>
          <w:tab w:val="clear" w:pos="720"/>
          <w:tab w:val="left" w:pos="851" w:leader="none"/>
          <w:tab w:val="left" w:pos="1134" w:leader="none"/>
        </w:tabs>
        <w:spacing w:before="0" w:after="27"/>
        <w:jc w:val="both"/>
        <w:rPr>
          <w:rFonts w:cs="Calibri" w:cstheme="minorHAnsi"/>
          <w:b/>
          <w:bCs/>
        </w:rPr>
      </w:pPr>
      <w:r>
        <w:rPr>
          <w:rFonts w:cs="Calibri" w:cstheme="minorHAnsi"/>
          <w:b/>
          <w:bCs/>
        </w:rPr>
      </w:r>
    </w:p>
    <w:p>
      <w:pPr>
        <w:pStyle w:val="Default"/>
        <w:tabs>
          <w:tab w:val="clear" w:pos="720"/>
          <w:tab w:val="left" w:pos="851" w:leader="none"/>
          <w:tab w:val="left" w:pos="1134" w:leader="none"/>
        </w:tabs>
        <w:spacing w:before="0" w:after="27"/>
        <w:jc w:val="both"/>
        <w:rPr>
          <w:sz w:val="22"/>
          <w:szCs w:val="22"/>
        </w:rPr>
      </w:pPr>
      <w:r>
        <w:rPr>
          <w:rFonts w:cs="Calibri" w:cstheme="minorHAnsi"/>
          <w:b/>
          <w:bCs/>
          <w:sz w:val="22"/>
          <w:szCs w:val="22"/>
        </w:rPr>
        <w:t>Συνημμένα:</w:t>
      </w:r>
      <w:r>
        <w:rPr>
          <w:rFonts w:cs="Calibri" w:cstheme="minorHAnsi"/>
          <w:color w:val="auto"/>
          <w:sz w:val="22"/>
          <w:szCs w:val="22"/>
        </w:rPr>
        <w:t xml:space="preserve">  ΤΕΧΝΙΚΗ ΠΡΟΔΙΑΓΡΑΦΕΣ</w:t>
      </w:r>
    </w:p>
    <w:p>
      <w:pPr>
        <w:pStyle w:val="Default"/>
        <w:tabs>
          <w:tab w:val="clear" w:pos="720"/>
          <w:tab w:val="left" w:pos="851" w:leader="none"/>
          <w:tab w:val="left" w:pos="1134" w:leader="none"/>
        </w:tabs>
        <w:spacing w:lineRule="auto" w:line="360" w:before="0" w:after="27"/>
        <w:jc w:val="both"/>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b/>
          <w:bCs/>
          <w:sz w:val="22"/>
          <w:szCs w:val="22"/>
        </w:rPr>
      </w:pPr>
      <w:r>
        <w:rPr>
          <w:b/>
          <w:bCs/>
          <w:sz w:val="22"/>
          <w:szCs w:val="22"/>
        </w:rPr>
        <w:t>ΠΑΡΑΡΤΗΜΑ</w:t>
      </w:r>
    </w:p>
    <w:p>
      <w:pPr>
        <w:pStyle w:val="Normal"/>
        <w:spacing w:before="0" w:after="0"/>
        <w:jc w:val="center"/>
        <w:rPr>
          <w:sz w:val="22"/>
          <w:szCs w:val="22"/>
        </w:rPr>
      </w:pPr>
      <w:r>
        <w:rPr>
          <w:sz w:val="22"/>
          <w:szCs w:val="22"/>
        </w:rPr>
      </w:r>
    </w:p>
    <w:p>
      <w:pPr>
        <w:pStyle w:val="Normal"/>
        <w:spacing w:before="0" w:after="0"/>
        <w:jc w:val="center"/>
        <w:rPr>
          <w:sz w:val="22"/>
          <w:szCs w:val="22"/>
        </w:rPr>
      </w:pPr>
      <w:r>
        <w:rPr>
          <w:sz w:val="22"/>
          <w:szCs w:val="22"/>
        </w:rPr>
      </w:r>
    </w:p>
    <w:p>
      <w:pPr>
        <w:pStyle w:val="Normal"/>
        <w:spacing w:before="0" w:after="0"/>
        <w:jc w:val="center"/>
        <w:rPr>
          <w:sz w:val="22"/>
          <w:szCs w:val="22"/>
        </w:rPr>
      </w:pPr>
      <w:r>
        <w:rPr>
          <w:rFonts w:cs="Calibri"/>
          <w:b/>
          <w:bCs/>
          <w:sz w:val="22"/>
          <w:szCs w:val="22"/>
          <w:u w:val="single"/>
        </w:rPr>
        <w:t xml:space="preserve"> </w:t>
      </w:r>
      <w:r>
        <w:rPr>
          <w:rFonts w:cs="Calibri"/>
          <w:b/>
          <w:bCs/>
          <w:sz w:val="22"/>
          <w:szCs w:val="22"/>
          <w:u w:val="single"/>
        </w:rPr>
        <w:t xml:space="preserve">ΤΕΧΝΙΚΕΣ ΠΡΟΔΙΑΓΡΑΦΕΣ </w:t>
      </w:r>
    </w:p>
    <w:p>
      <w:pPr>
        <w:pStyle w:val="Normal"/>
        <w:jc w:val="center"/>
        <w:rPr>
          <w:b/>
          <w:bCs/>
          <w:sz w:val="22"/>
          <w:szCs w:val="22"/>
        </w:rPr>
      </w:pPr>
      <w:r>
        <w:rPr>
          <w:rFonts w:cs="Calibri"/>
          <w:b w:val="false"/>
          <w:bCs w:val="false"/>
          <w:sz w:val="22"/>
          <w:szCs w:val="22"/>
        </w:rPr>
        <w:t xml:space="preserve">για την τοποθέτηση </w:t>
      </w:r>
      <w:r>
        <w:rPr>
          <w:rFonts w:eastAsia="Times New Roman" w:cs="Times New Roman"/>
          <w:b/>
          <w:bCs/>
          <w:iCs/>
          <w:kern w:val="2"/>
          <w:sz w:val="22"/>
          <w:szCs w:val="22"/>
          <w:highlight w:val="white"/>
          <w:lang w:eastAsia="el-GR"/>
        </w:rPr>
        <w:t xml:space="preserve"> «ΟΚΤΩ ΑΥΤΟΜΑΤΩΝ ΠΩΛΗΤΩΝ ΡΟΦΗΜΑΤΩΝ, ΚΑΙ ΟΚΤΩ ΑΥΤΟΜΑΤΩΝ ΠΩΛΗΤΩΝ ΕΜΦΙΑΛΩΜΕΝΟΥ ΝΕΡΟΥ, ΑΝΑΨΥΚΤΙΚΩΝ, ΠΡΟΧΕΙΡΗΣ ΤΡΟΦΗΣ (</w:t>
      </w:r>
      <w:r>
        <w:rPr>
          <w:rFonts w:eastAsia="Times New Roman" w:cs="Times New Roman"/>
          <w:b/>
          <w:bCs/>
          <w:iCs/>
          <w:kern w:val="2"/>
          <w:sz w:val="22"/>
          <w:szCs w:val="22"/>
          <w:highlight w:val="white"/>
          <w:lang w:val="en-US" w:eastAsia="el-GR"/>
        </w:rPr>
        <w:t>SNACK</w:t>
      </w:r>
      <w:r>
        <w:rPr>
          <w:rFonts w:eastAsia="Times New Roman" w:cs="Times New Roman"/>
          <w:b/>
          <w:bCs/>
          <w:iCs/>
          <w:kern w:val="2"/>
          <w:sz w:val="22"/>
          <w:szCs w:val="22"/>
          <w:highlight w:val="white"/>
          <w:lang w:eastAsia="el-GR"/>
        </w:rPr>
        <w:t>)</w:t>
      </w:r>
      <w:r>
        <w:rPr>
          <w:rFonts w:eastAsia="Times New Roman" w:cs="Calibri"/>
          <w:b/>
          <w:bCs/>
          <w:iCs/>
          <w:kern w:val="2"/>
          <w:sz w:val="22"/>
          <w:szCs w:val="22"/>
          <w:highlight w:val="white"/>
          <w:lang w:eastAsia="el-GR"/>
        </w:rPr>
        <w:t xml:space="preserve"> ΣΤΟΥΣ ΧΩΡΟΥΣ ΤΟΥ Γ.Ν. ΣΕΡΡΩΝ</w:t>
      </w:r>
      <w:r>
        <w:rPr>
          <w:rFonts w:eastAsia="Times New Roman" w:cs="Times New Roman"/>
          <w:b/>
          <w:bCs/>
          <w:iCs/>
          <w:kern w:val="2"/>
          <w:sz w:val="22"/>
          <w:szCs w:val="22"/>
          <w:highlight w:val="white"/>
          <w:lang w:eastAsia="el-GR"/>
        </w:rPr>
        <w:t>»</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spacing w:before="0" w:after="0"/>
        <w:jc w:val="center"/>
        <w:rPr>
          <w:rFonts w:ascii="Calibri" w:hAnsi="Calibri" w:cs="Calibri"/>
          <w:b/>
          <w:bCs/>
          <w:sz w:val="22"/>
          <w:szCs w:val="22"/>
          <w:u w:val="single"/>
        </w:rPr>
      </w:pPr>
      <w:r>
        <w:rPr>
          <w:rFonts w:cs="Calibri"/>
          <w:b/>
          <w:bCs/>
          <w:sz w:val="22"/>
          <w:szCs w:val="22"/>
          <w:u w:val="single"/>
        </w:rPr>
      </w:r>
    </w:p>
    <w:p>
      <w:pPr>
        <w:pStyle w:val="Normal"/>
        <w:spacing w:before="0" w:after="0"/>
        <w:jc w:val="center"/>
        <w:rPr>
          <w:sz w:val="22"/>
          <w:szCs w:val="22"/>
        </w:rPr>
      </w:pPr>
      <w:r>
        <w:rPr>
          <w:rFonts w:cs="Calibri"/>
          <w:b/>
          <w:bCs/>
          <w:sz w:val="22"/>
          <w:szCs w:val="22"/>
          <w:u w:val="single"/>
        </w:rPr>
        <w:t>ΠΙΝΑΚΑΣ ΖΗΤΟΥΜΕΝΩΝ ΕΙΔΩΝ ΚΑΙ ΤΕΧΝΙΚΕΣ ΠΡΟΔΙΑΓΡΑΦΕΣ</w:t>
      </w:r>
    </w:p>
    <w:p>
      <w:pPr>
        <w:pStyle w:val="Normal"/>
        <w:spacing w:before="0" w:after="0"/>
        <w:jc w:val="center"/>
        <w:rPr>
          <w:rFonts w:ascii="Calibri" w:hAnsi="Calibri" w:cs="Calibri"/>
          <w:b/>
          <w:bCs/>
          <w:sz w:val="22"/>
          <w:szCs w:val="22"/>
          <w:u w:val="single"/>
        </w:rPr>
      </w:pPr>
      <w:r>
        <w:rPr>
          <w:rFonts w:cs="Calibri"/>
          <w:b/>
          <w:bCs/>
          <w:sz w:val="22"/>
          <w:szCs w:val="22"/>
          <w:u w:val="single"/>
        </w:rPr>
      </w:r>
    </w:p>
    <w:p>
      <w:pPr>
        <w:pStyle w:val="Normal"/>
        <w:spacing w:before="0" w:after="0"/>
        <w:jc w:val="center"/>
        <w:rPr>
          <w:rFonts w:ascii="Calibri" w:hAnsi="Calibri" w:cs="Calibri"/>
          <w:b/>
          <w:bCs/>
          <w:sz w:val="22"/>
          <w:szCs w:val="22"/>
          <w:u w:val="single"/>
        </w:rPr>
      </w:pPr>
      <w:r>
        <w:rPr>
          <w:rFonts w:cs="Calibri"/>
          <w:b/>
          <w:bCs/>
          <w:sz w:val="22"/>
          <w:szCs w:val="22"/>
          <w:u w:val="single"/>
        </w:rPr>
      </w:r>
    </w:p>
    <w:p>
      <w:pPr>
        <w:pStyle w:val="Normal"/>
        <w:spacing w:before="0" w:after="0"/>
        <w:jc w:val="center"/>
        <w:rPr>
          <w:rFonts w:ascii="Calibri" w:hAnsi="Calibri" w:cs="Calibri"/>
          <w:b/>
          <w:bCs/>
          <w:sz w:val="22"/>
          <w:szCs w:val="22"/>
          <w:u w:val="single"/>
        </w:rPr>
      </w:pPr>
      <w:r>
        <w:rPr>
          <w:rFonts w:cs="Calibri"/>
          <w:b/>
          <w:bCs/>
          <w:sz w:val="22"/>
          <w:szCs w:val="22"/>
          <w:u w:val="single"/>
        </w:rPr>
      </w:r>
    </w:p>
    <w:tbl>
      <w:tblPr>
        <w:tblW w:w="5000" w:type="pct"/>
        <w:jc w:val="left"/>
        <w:tblInd w:w="-5" w:type="dxa"/>
        <w:tblLayout w:type="fixed"/>
        <w:tblCellMar>
          <w:top w:w="55" w:type="dxa"/>
          <w:left w:w="55" w:type="dxa"/>
          <w:bottom w:w="55" w:type="dxa"/>
          <w:right w:w="55" w:type="dxa"/>
        </w:tblCellMar>
      </w:tblPr>
      <w:tblGrid>
        <w:gridCol w:w="610"/>
        <w:gridCol w:w="3893"/>
        <w:gridCol w:w="2474"/>
        <w:gridCol w:w="1412"/>
        <w:gridCol w:w="2101"/>
      </w:tblGrid>
      <w:tr>
        <w:trPr/>
        <w:tc>
          <w:tcPr>
            <w:tcW w:w="610" w:type="dxa"/>
            <w:tcBorders>
              <w:top w:val="single" w:sz="4" w:space="0" w:color="000000"/>
              <w:left w:val="single" w:sz="4" w:space="0" w:color="000000"/>
              <w:bottom w:val="single" w:sz="4" w:space="0" w:color="000000"/>
            </w:tcBorders>
          </w:tcPr>
          <w:p>
            <w:pPr>
              <w:pStyle w:val="Style19"/>
              <w:spacing w:before="0" w:after="200"/>
              <w:jc w:val="center"/>
              <w:rPr>
                <w:sz w:val="22"/>
                <w:szCs w:val="22"/>
              </w:rPr>
            </w:pPr>
            <w:r>
              <w:rPr>
                <w:rFonts w:cs="Calibri"/>
                <w:sz w:val="22"/>
                <w:szCs w:val="22"/>
              </w:rPr>
              <w:t>Α/Α</w:t>
            </w:r>
          </w:p>
        </w:tc>
        <w:tc>
          <w:tcPr>
            <w:tcW w:w="3893" w:type="dxa"/>
            <w:tcBorders>
              <w:top w:val="single" w:sz="4" w:space="0" w:color="000000"/>
              <w:left w:val="single" w:sz="4" w:space="0" w:color="000000"/>
              <w:bottom w:val="single" w:sz="4" w:space="0" w:color="000000"/>
            </w:tcBorders>
          </w:tcPr>
          <w:p>
            <w:pPr>
              <w:pStyle w:val="Style19"/>
              <w:spacing w:before="0" w:after="200"/>
              <w:jc w:val="center"/>
              <w:rPr>
                <w:sz w:val="22"/>
                <w:szCs w:val="22"/>
              </w:rPr>
            </w:pPr>
            <w:r>
              <w:rPr>
                <w:rFonts w:cs="Calibri"/>
                <w:sz w:val="22"/>
                <w:szCs w:val="22"/>
              </w:rPr>
              <w:t>ΠΕΡΙΓΡΑΦΗ ΤΥΠΟΥ</w:t>
            </w:r>
          </w:p>
        </w:tc>
        <w:tc>
          <w:tcPr>
            <w:tcW w:w="2474" w:type="dxa"/>
            <w:tcBorders>
              <w:top w:val="single" w:sz="4" w:space="0" w:color="000000"/>
              <w:left w:val="single" w:sz="4" w:space="0" w:color="000000"/>
              <w:bottom w:val="single" w:sz="4" w:space="0" w:color="000000"/>
            </w:tcBorders>
          </w:tcPr>
          <w:p>
            <w:pPr>
              <w:pStyle w:val="Style19"/>
              <w:spacing w:before="0" w:after="200"/>
              <w:jc w:val="center"/>
              <w:rPr>
                <w:sz w:val="22"/>
                <w:szCs w:val="22"/>
              </w:rPr>
            </w:pPr>
            <w:r>
              <w:rPr>
                <w:rFonts w:cs="Calibri"/>
                <w:sz w:val="22"/>
                <w:szCs w:val="22"/>
              </w:rPr>
              <w:t>ΜΟΝΑΔΑ ΜΕΤΡΗΣΗΣ</w:t>
            </w:r>
          </w:p>
        </w:tc>
        <w:tc>
          <w:tcPr>
            <w:tcW w:w="1412" w:type="dxa"/>
            <w:tcBorders>
              <w:top w:val="single" w:sz="4" w:space="0" w:color="000000"/>
              <w:left w:val="single" w:sz="4" w:space="0" w:color="000000"/>
              <w:bottom w:val="single" w:sz="4" w:space="0" w:color="000000"/>
            </w:tcBorders>
          </w:tcPr>
          <w:p>
            <w:pPr>
              <w:pStyle w:val="Style19"/>
              <w:spacing w:before="0" w:after="200"/>
              <w:jc w:val="center"/>
              <w:rPr>
                <w:sz w:val="22"/>
                <w:szCs w:val="22"/>
              </w:rPr>
            </w:pPr>
            <w:r>
              <w:rPr>
                <w:rFonts w:cs="Calibri"/>
                <w:sz w:val="22"/>
                <w:szCs w:val="22"/>
              </w:rPr>
              <w:t>ΠΟΣΟΤΗΤΑ</w:t>
            </w:r>
          </w:p>
        </w:tc>
        <w:tc>
          <w:tcPr>
            <w:tcW w:w="2101" w:type="dxa"/>
            <w:tcBorders>
              <w:top w:val="single" w:sz="4" w:space="0" w:color="000000"/>
              <w:left w:val="single" w:sz="4" w:space="0" w:color="000000"/>
              <w:bottom w:val="single" w:sz="4" w:space="0" w:color="000000"/>
              <w:right w:val="single" w:sz="4" w:space="0" w:color="000000"/>
            </w:tcBorders>
          </w:tcPr>
          <w:p>
            <w:pPr>
              <w:pStyle w:val="Style19"/>
              <w:spacing w:before="0" w:after="200"/>
              <w:jc w:val="center"/>
              <w:rPr>
                <w:sz w:val="22"/>
                <w:szCs w:val="22"/>
              </w:rPr>
            </w:pPr>
            <w:r>
              <w:rPr>
                <w:rFonts w:cs="Calibri"/>
                <w:sz w:val="22"/>
                <w:szCs w:val="22"/>
              </w:rPr>
              <w:t>ΤΙΜΗ ΕΚΚΙΝΗΣΗΣ</w:t>
            </w:r>
          </w:p>
        </w:tc>
      </w:tr>
      <w:tr>
        <w:trPr/>
        <w:tc>
          <w:tcPr>
            <w:tcW w:w="610"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rPr>
              <w:t>1</w:t>
            </w:r>
          </w:p>
        </w:tc>
        <w:tc>
          <w:tcPr>
            <w:tcW w:w="3893"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rPr>
              <w:t>ΑΥΤΟΜΑΤΟΙ ΠΩΛΗΤΕΣ ΡΟΦΗΜΑΤΩΝ</w:t>
            </w:r>
          </w:p>
        </w:tc>
        <w:tc>
          <w:tcPr>
            <w:tcW w:w="2474"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lang w:val="en-US"/>
              </w:rPr>
              <w:t>TEM</w:t>
            </w:r>
          </w:p>
        </w:tc>
        <w:tc>
          <w:tcPr>
            <w:tcW w:w="1412"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lang w:val="en-US"/>
              </w:rPr>
              <w:t>8</w:t>
            </w:r>
          </w:p>
        </w:tc>
        <w:tc>
          <w:tcPr>
            <w:tcW w:w="2101" w:type="dxa"/>
            <w:tcBorders>
              <w:left w:val="single" w:sz="4" w:space="0" w:color="000000"/>
              <w:bottom w:val="single" w:sz="4" w:space="0" w:color="000000"/>
              <w:right w:val="single" w:sz="4" w:space="0" w:color="000000"/>
            </w:tcBorders>
          </w:tcPr>
          <w:p>
            <w:pPr>
              <w:pStyle w:val="Style19"/>
              <w:spacing w:before="0" w:after="200"/>
              <w:jc w:val="center"/>
              <w:rPr>
                <w:sz w:val="22"/>
                <w:szCs w:val="22"/>
              </w:rPr>
            </w:pPr>
            <w:r>
              <w:rPr>
                <w:rFonts w:cs="Calibri"/>
                <w:sz w:val="22"/>
                <w:szCs w:val="22"/>
              </w:rPr>
              <w:t>300€</w:t>
            </w:r>
          </w:p>
        </w:tc>
      </w:tr>
      <w:tr>
        <w:trPr/>
        <w:tc>
          <w:tcPr>
            <w:tcW w:w="610"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rPr>
              <w:t>2</w:t>
            </w:r>
          </w:p>
        </w:tc>
        <w:tc>
          <w:tcPr>
            <w:tcW w:w="3893"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rPr>
              <w:t xml:space="preserve">ΑΥΤΟΜΑΤΟΙ ΠΩΛΗΤΕΣ ΕΜΦΙΑΛΩΜΕΝΟΥ ΝΕΡΟΥ,ΑΝΑΨΥΚΤΙΚΩΝ,ΠΡΟΧΕΙΡΗΣ ΤΡΟΦΗΣ </w:t>
            </w:r>
            <w:r>
              <w:rPr>
                <w:rFonts w:cs="Calibri"/>
                <w:sz w:val="22"/>
                <w:szCs w:val="22"/>
                <w:lang w:val="en-US"/>
              </w:rPr>
              <w:t>(SNACKS)</w:t>
            </w:r>
          </w:p>
        </w:tc>
        <w:tc>
          <w:tcPr>
            <w:tcW w:w="2474"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lang w:val="en-US"/>
              </w:rPr>
              <w:t>TEM</w:t>
            </w:r>
          </w:p>
        </w:tc>
        <w:tc>
          <w:tcPr>
            <w:tcW w:w="1412" w:type="dxa"/>
            <w:tcBorders>
              <w:left w:val="single" w:sz="4" w:space="0" w:color="000000"/>
              <w:bottom w:val="single" w:sz="4" w:space="0" w:color="000000"/>
            </w:tcBorders>
          </w:tcPr>
          <w:p>
            <w:pPr>
              <w:pStyle w:val="Style19"/>
              <w:spacing w:before="0" w:after="200"/>
              <w:jc w:val="center"/>
              <w:rPr>
                <w:sz w:val="22"/>
                <w:szCs w:val="22"/>
              </w:rPr>
            </w:pPr>
            <w:r>
              <w:rPr>
                <w:rFonts w:cs="Calibri"/>
                <w:sz w:val="22"/>
                <w:szCs w:val="22"/>
                <w:lang w:val="en-US"/>
              </w:rPr>
              <w:t>8</w:t>
            </w:r>
          </w:p>
        </w:tc>
        <w:tc>
          <w:tcPr>
            <w:tcW w:w="2101" w:type="dxa"/>
            <w:tcBorders>
              <w:left w:val="single" w:sz="4" w:space="0" w:color="000000"/>
              <w:bottom w:val="single" w:sz="4" w:space="0" w:color="000000"/>
              <w:right w:val="single" w:sz="4" w:space="0" w:color="000000"/>
            </w:tcBorders>
          </w:tcPr>
          <w:p>
            <w:pPr>
              <w:pStyle w:val="Style19"/>
              <w:spacing w:before="0" w:after="200"/>
              <w:jc w:val="center"/>
              <w:rPr>
                <w:sz w:val="22"/>
                <w:szCs w:val="22"/>
              </w:rPr>
            </w:pPr>
            <w:r>
              <w:rPr>
                <w:rFonts w:cs="Calibri"/>
                <w:sz w:val="22"/>
                <w:szCs w:val="22"/>
              </w:rPr>
              <w:t>300€</w:t>
            </w:r>
          </w:p>
        </w:tc>
      </w:tr>
    </w:tbl>
    <w:p>
      <w:pPr>
        <w:pStyle w:val="Normal"/>
        <w:spacing w:before="0" w:after="0"/>
        <w:jc w:val="center"/>
        <w:rPr>
          <w:rFonts w:ascii="Calibri" w:hAnsi="Calibri" w:cs="Calibri"/>
          <w:b/>
          <w:bCs/>
          <w:sz w:val="22"/>
          <w:szCs w:val="22"/>
          <w:u w:val="single"/>
        </w:rPr>
      </w:pPr>
      <w:r>
        <w:rPr>
          <w:rFonts w:cs="Calibri"/>
          <w:b/>
          <w:bCs/>
          <w:sz w:val="22"/>
          <w:szCs w:val="22"/>
          <w:u w:val="single"/>
        </w:rPr>
      </w:r>
    </w:p>
    <w:p>
      <w:pPr>
        <w:pStyle w:val="Normal"/>
        <w:spacing w:before="0" w:after="0"/>
        <w:jc w:val="center"/>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val="false"/>
          <w:bCs w:val="false"/>
          <w:sz w:val="22"/>
          <w:szCs w:val="22"/>
        </w:rPr>
        <w:t>Μηχανήματα αυτόματης παρασκευής - πώλησης τροφίμων ή/και ποτών είναι τα μηχανήματα τα οποία μπορούν να συντηρούν στις ενδεικνυόμενες κατά περίπτωση συνθήκες (προσυσκευασμένα) ή και να αναμιγνύουν και να διαθέτουν τα ανωτέρω με εντολή που δίδεται από τον πελάτη με μετρητά ή άλλο τρόπο πληρωμής ( π.χ. πιστωτική κάρτα, κλπ).</w:t>
      </w:r>
    </w:p>
    <w:p>
      <w:pPr>
        <w:pStyle w:val="Normal"/>
        <w:jc w:val="both"/>
        <w:rPr>
          <w:sz w:val="22"/>
          <w:szCs w:val="22"/>
        </w:rPr>
      </w:pPr>
      <w:r>
        <w:rPr>
          <w:rFonts w:cs="Calibri"/>
          <w:b w:val="false"/>
          <w:bCs w:val="false"/>
          <w:sz w:val="22"/>
          <w:szCs w:val="22"/>
        </w:rPr>
        <w:t xml:space="preserve"> </w:t>
      </w:r>
      <w:r>
        <w:rPr>
          <w:rFonts w:cs="Calibri"/>
          <w:b w:val="false"/>
          <w:bCs w:val="false"/>
          <w:color w:val="auto"/>
          <w:sz w:val="22"/>
          <w:szCs w:val="22"/>
        </w:rPr>
        <w:t xml:space="preserve">Τα ανωτέρω μηχανήματα τοποθετούνται σε δημόσιους ανοικτούς ή στεγασμένους χώρους (π.χ. έμπροσθεν επιχειρήσεων που λειτουργούν νομίμως, σταθμούς, χώρους αναμονής κ.λπ. ή ιδιωτικούς χώρους (π.χ. καταστήματα, γραφεία, κ.λπ.), εκπαιδευτικούς οργανισμούς, νοσοκομεία, χώρους υποδοχής κοινού για υπηρεσίες ή χώρους δημοσίων θεαμάτων με μακροχρόνια παραμονή κοινού. </w:t>
      </w:r>
    </w:p>
    <w:p>
      <w:pPr>
        <w:pStyle w:val="Normal"/>
        <w:jc w:val="both"/>
        <w:rPr>
          <w:sz w:val="22"/>
          <w:szCs w:val="22"/>
        </w:rPr>
      </w:pPr>
      <w:r>
        <w:rPr>
          <w:rFonts w:cs="Calibri"/>
          <w:b w:val="false"/>
          <w:bCs w:val="false"/>
          <w:sz w:val="22"/>
          <w:szCs w:val="22"/>
        </w:rPr>
        <w:t xml:space="preserve">Τα ακριβή σημεία εγκατάστασης των αυτόματων πωλητών θα υποδειχθούν από την Τεχνική Υπηρεσία του νοσοκομείου μας μετά την υποβολή των προσφορών των συμμετεχόντων όταν θα υπάρχουν στη διάθεσή της τα ακριβή χαρακτηριστικά των </w:t>
      </w:r>
      <w:r>
        <w:rPr>
          <w:sz w:val="22"/>
          <w:szCs w:val="22"/>
        </w:rPr>
        <w:t xml:space="preserve">μηχανημάτων αυτόματων πωλητών (εξωτερικές διατάσεις, βάρος, απαιτήσεις λειτουργίας, συνθήκες χώρου λειτουργίας) </w:t>
      </w:r>
    </w:p>
    <w:p>
      <w:pPr>
        <w:pStyle w:val="Normal"/>
        <w:jc w:val="both"/>
        <w:rPr>
          <w:sz w:val="22"/>
          <w:szCs w:val="22"/>
        </w:rPr>
      </w:pPr>
      <w:r>
        <w:rPr>
          <w:rFonts w:cs="Calibri"/>
          <w:b w:val="false"/>
          <w:bCs w:val="false"/>
          <w:sz w:val="22"/>
          <w:szCs w:val="22"/>
        </w:rPr>
        <w:t xml:space="preserve">Τα σημεία αυτά: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Δεν θα βρίσκονται σε χώρους όπου λόγω της φύσεως της εκτελούμενης σε αυτούς εργασία, δεν είναι δυνατό να τηρηθεί η απαιτούμενη καθαριότητα ή παράγονται αέρια, ατμοί, σκόνη (π.χ. διάδρομοι αποχωρητηρίων, σιδηρουργεία, βαφεία, καθαριστήρια κ.λπ.).</w:t>
      </w:r>
    </w:p>
    <w:p>
      <w:pPr>
        <w:pStyle w:val="Normal"/>
        <w:jc w:val="both"/>
        <w:rPr>
          <w:sz w:val="22"/>
          <w:szCs w:val="22"/>
        </w:rPr>
      </w:pPr>
      <w:r>
        <w:rPr>
          <w:rFonts w:cs="Calibri"/>
          <w:b w:val="false"/>
          <w:bCs w:val="false"/>
          <w:sz w:val="22"/>
          <w:szCs w:val="22"/>
        </w:rPr>
        <w:t xml:space="preserve">Επίσης στα σημεία αυτά: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Θα διασφαλίζεται η παροχή ηλεκτρικής τροφοδοσίας. Η σύνδεση στον κεντρικό πίνακα ορόφου θα γίνει υπό την εποπτεία της Τεχνικής Υπηρεσίας του Νοσοκομείο μας. Η εγκατάσταση ως τον πίνακα ηλεκτροδότησης των αυτόματων πωλητών θα επιβαρύνει οικονομικά τον ανάδοχο.</w:t>
      </w:r>
    </w:p>
    <w:p>
      <w:pPr>
        <w:pStyle w:val="Normal"/>
        <w:jc w:val="both"/>
        <w:rPr>
          <w:sz w:val="22"/>
          <w:szCs w:val="22"/>
        </w:rPr>
      </w:pPr>
      <w:r>
        <w:rPr>
          <w:rFonts w:cs="Calibri"/>
          <w:b w:val="false"/>
          <w:bCs w:val="false"/>
          <w:sz w:val="22"/>
          <w:szCs w:val="22"/>
        </w:rPr>
        <w:t xml:space="preserve"> • </w:t>
      </w:r>
      <w:r>
        <w:rPr>
          <w:rFonts w:cs="Calibri"/>
          <w:b w:val="false"/>
          <w:bCs w:val="false"/>
          <w:sz w:val="22"/>
          <w:szCs w:val="22"/>
        </w:rPr>
        <w:t xml:space="preserve">Θα διασφαλίζεται η παροχή πόσιμου νερού και η σύνδεση σε δίκτυο ύδρευσης του Νοσοκομείου αλλά η εγκατάσταση ως την σύνδεση θα επιβαρύνει οικονομικά τον ανάδοχο. Ο ανάδοχος μπορεί να προτείνει αυτόματους πωλητές με αυτόνομη δεξαμενή νερού. </w:t>
      </w:r>
    </w:p>
    <w:p>
      <w:pPr>
        <w:pStyle w:val="Normal"/>
        <w:jc w:val="center"/>
        <w:rPr>
          <w:rFonts w:ascii="Calibri" w:hAnsi="Calibri" w:cs="Calibri"/>
          <w:b/>
          <w:bCs/>
          <w:sz w:val="22"/>
          <w:szCs w:val="22"/>
        </w:rPr>
      </w:pPr>
      <w:r>
        <w:rPr>
          <w:rFonts w:cs="Calibri"/>
          <w:b/>
          <w:bCs/>
          <w:sz w:val="22"/>
          <w:szCs w:val="22"/>
        </w:rPr>
      </w:r>
    </w:p>
    <w:p>
      <w:pPr>
        <w:pStyle w:val="Normal"/>
        <w:jc w:val="both"/>
        <w:rPr>
          <w:sz w:val="22"/>
          <w:szCs w:val="22"/>
        </w:rPr>
      </w:pPr>
      <w:r>
        <w:rPr>
          <w:rFonts w:cs="Calibri"/>
          <w:b/>
          <w:bCs/>
          <w:sz w:val="22"/>
          <w:szCs w:val="22"/>
        </w:rPr>
        <w:t xml:space="preserve">Οι συμμετέχοντες στο διαγωνισμό θα πρέπει να προσκομίσουν: </w:t>
      </w:r>
    </w:p>
    <w:p>
      <w:pPr>
        <w:pStyle w:val="Normal"/>
        <w:numPr>
          <w:ilvl w:val="0"/>
          <w:numId w:val="5"/>
        </w:numPr>
        <w:jc w:val="both"/>
        <w:rPr>
          <w:sz w:val="22"/>
          <w:szCs w:val="22"/>
        </w:rPr>
      </w:pPr>
      <w:r>
        <w:rPr>
          <w:rFonts w:cs="Calibri"/>
          <w:b w:val="false"/>
          <w:bCs w:val="false"/>
          <w:sz w:val="22"/>
          <w:szCs w:val="22"/>
        </w:rPr>
        <w:t xml:space="preserve">Δήλωση συμμόρφωσης Ε.Κ (CE) των μηχανημάτων από πιστοποιημένη εταιρεία. </w:t>
      </w:r>
    </w:p>
    <w:p>
      <w:pPr>
        <w:pStyle w:val="Normal"/>
        <w:numPr>
          <w:ilvl w:val="0"/>
          <w:numId w:val="5"/>
        </w:numPr>
        <w:jc w:val="both"/>
        <w:rPr>
          <w:sz w:val="22"/>
          <w:szCs w:val="22"/>
        </w:rPr>
      </w:pPr>
      <w:r>
        <w:rPr>
          <w:rFonts w:cs="Calibri"/>
          <w:b w:val="false"/>
          <w:bCs w:val="false"/>
          <w:sz w:val="22"/>
          <w:szCs w:val="22"/>
        </w:rPr>
        <w:t>Βεβαίωση πιστοποίησης του αρμόδιου φορέα της χώρας προέλευσης για το συγκεκριμένο μηχάνημα ή της εταιρείας κατασκευής του συγκεκριμένου μηχανήματος.</w:t>
      </w:r>
    </w:p>
    <w:p>
      <w:pPr>
        <w:pStyle w:val="Normal"/>
        <w:numPr>
          <w:ilvl w:val="0"/>
          <w:numId w:val="5"/>
        </w:numPr>
        <w:jc w:val="both"/>
        <w:rPr>
          <w:sz w:val="22"/>
          <w:szCs w:val="22"/>
        </w:rPr>
      </w:pPr>
      <w:r>
        <w:rPr>
          <w:rFonts w:cs="Calibri"/>
          <w:b w:val="false"/>
          <w:bCs w:val="false"/>
          <w:sz w:val="22"/>
          <w:szCs w:val="22"/>
        </w:rPr>
        <w:t>Βεβαίωση των κατασκευαστών για την πιστότητα των μηχανημάτων αυτόματης πώλησης ως προς τις βασικές απαιτήσεις για την προσφορά τροφίμων και ποτών.</w:t>
      </w:r>
    </w:p>
    <w:p>
      <w:pPr>
        <w:pStyle w:val="Normal"/>
        <w:numPr>
          <w:ilvl w:val="0"/>
          <w:numId w:val="5"/>
        </w:numPr>
        <w:jc w:val="both"/>
        <w:rPr>
          <w:sz w:val="22"/>
          <w:szCs w:val="22"/>
        </w:rPr>
      </w:pPr>
      <w:r>
        <w:rPr>
          <w:rFonts w:cs="Calibri"/>
          <w:b w:val="false"/>
          <w:bCs w:val="false"/>
          <w:sz w:val="22"/>
          <w:szCs w:val="22"/>
        </w:rPr>
        <w:t xml:space="preserve">Αναλυτική κατάσταση στην οποία θα περιγράφεται λεπτομερώς ο μηχανικός εξοπλισμός τον οποίο προτίθεται να εγκαταστήσει ο συμμετέχων, η οποία θα συνοδεύεται από σύντομη και σαφή περιγραφή του τρόπου με τον οποίο ο συμμετέχων προτίθεται να υλοποιήσει τη σύμβαση (τήρηση κανόνων υγιεινής, πρόγραμμα λεπτομερούς καθαρισμού των αυτόματων πωλητών κ.λ.π.), ώστε να μπορεί να κριθεί εάν τα προσφερόμενα μηχανήματα είναι κατάλληλα για χρήση υπό τις ειδικές συνθήκες λειτουργίας του Νοσοκομείου, καθώς και εάν μπορούν να καλύψουν αδιαλείπτως και με απόλυτη επάρκεια τις ανάγκες του κοινού καθ’ όλο το 24ωρο. </w:t>
      </w:r>
    </w:p>
    <w:p>
      <w:pPr>
        <w:pStyle w:val="Normal"/>
        <w:numPr>
          <w:ilvl w:val="0"/>
          <w:numId w:val="5"/>
        </w:numPr>
        <w:ind w:hanging="340" w:left="794" w:right="0"/>
        <w:jc w:val="both"/>
        <w:rPr>
          <w:sz w:val="22"/>
          <w:szCs w:val="22"/>
        </w:rPr>
      </w:pPr>
      <w:r>
        <w:rPr>
          <w:rFonts w:cs="Calibri"/>
          <w:b w:val="false"/>
          <w:bCs w:val="false"/>
          <w:sz w:val="22"/>
          <w:szCs w:val="22"/>
        </w:rPr>
        <w:t>Πιστοποιητικά ή άλλα κατάλληλα δημόσια έγγραφα, από τα οποία να προκύπτει ότι η επιχείρηση του συμμετέχοντος διαθέτει άδεια λειτουργίας, εκδοθείσα κατόπιν εγκρίσεως της αρμόδιας υγειονομικής αρχής, καθώς και άδεια λειτουργίας αποθήκης τροφίμων</w:t>
      </w:r>
    </w:p>
    <w:p>
      <w:pPr>
        <w:pStyle w:val="Normal"/>
        <w:numPr>
          <w:ilvl w:val="0"/>
          <w:numId w:val="5"/>
        </w:numPr>
        <w:jc w:val="both"/>
        <w:rPr>
          <w:sz w:val="22"/>
          <w:szCs w:val="22"/>
        </w:rPr>
      </w:pPr>
      <w:r>
        <w:rPr>
          <w:rFonts w:cs="Calibri"/>
          <w:b w:val="false"/>
          <w:bCs w:val="false"/>
          <w:sz w:val="22"/>
          <w:szCs w:val="22"/>
        </w:rPr>
        <w:t xml:space="preserve">Πιστοποιητικά από τα οποία να προκύπτει ότι η επιχείρηση του συμμετέχοντος εφαρμόζει σύστημα διασφάλισης ποιότητας κατά EN ISO 9001:2015, σύστημα διαχείρισης ασφάλειας τροφίμων κατά ΕΝ </w:t>
      </w:r>
      <w:r>
        <w:rPr>
          <w:rFonts w:cs="Calibri"/>
          <w:b w:val="false"/>
          <w:bCs w:val="false"/>
          <w:color w:val="auto"/>
          <w:sz w:val="22"/>
          <w:szCs w:val="22"/>
        </w:rPr>
        <w:t>ISO 22000:2018</w:t>
      </w:r>
      <w:r>
        <w:rPr>
          <w:rFonts w:cs="Calibri"/>
          <w:b w:val="false"/>
          <w:bCs w:val="false"/>
          <w:sz w:val="22"/>
          <w:szCs w:val="22"/>
        </w:rPr>
        <w:t xml:space="preserve"> και σύστημα διαχείρισης ασφάλειας και υγείας στην εργασία κατά ISO 45001:2018 ή OHSAS 18001:2007. </w:t>
      </w:r>
    </w:p>
    <w:p>
      <w:pPr>
        <w:pStyle w:val="Normal"/>
        <w:numPr>
          <w:ilvl w:val="0"/>
          <w:numId w:val="5"/>
        </w:numPr>
        <w:jc w:val="both"/>
        <w:rPr>
          <w:sz w:val="22"/>
          <w:szCs w:val="22"/>
        </w:rPr>
      </w:pPr>
      <w:r>
        <w:rPr>
          <w:rFonts w:cs="Calibri"/>
          <w:b w:val="false"/>
          <w:bCs w:val="false"/>
          <w:sz w:val="22"/>
          <w:szCs w:val="22"/>
        </w:rPr>
        <w:t xml:space="preserve">Βεβαιώσεις ή άλλα κατάλληλα έγγραφα από αρμόδιες αρχές, από τα οποία να προκύπτει ότι τα μηχανήματα που προτίθεται να εγκαταστήσει ο συμμετέχων, έχουν ελεγχθεί και κριθεί τεχνικώς και υγειονομικός κατάλληλα με βάση την ισχύουσα εθνική ή/ και κοινοτική νομοθεσία (ξεχωριστός φάκελος για κάθε αυτόματο πωλητή) </w:t>
      </w:r>
    </w:p>
    <w:p>
      <w:pPr>
        <w:pStyle w:val="Normal"/>
        <w:numPr>
          <w:ilvl w:val="0"/>
          <w:numId w:val="5"/>
        </w:numPr>
        <w:jc w:val="both"/>
        <w:rPr>
          <w:sz w:val="22"/>
          <w:szCs w:val="22"/>
        </w:rPr>
      </w:pPr>
      <w:r>
        <w:rPr>
          <w:rFonts w:cs="Calibri"/>
          <w:b w:val="false"/>
          <w:bCs w:val="false"/>
          <w:sz w:val="22"/>
          <w:szCs w:val="22"/>
        </w:rPr>
        <w:t xml:space="preserve">Βεβαίωση από την οποία να προκύπτει ότι τα υλικά από τα οποία κατασκευάζονται τα ψυγεία των αυτόματων πωλητών είναι ελεύθερα καδμίου (cd). </w:t>
      </w:r>
    </w:p>
    <w:p>
      <w:pPr>
        <w:pStyle w:val="Normal"/>
        <w:numPr>
          <w:ilvl w:val="0"/>
          <w:numId w:val="5"/>
        </w:numPr>
        <w:jc w:val="both"/>
        <w:rPr>
          <w:sz w:val="22"/>
          <w:szCs w:val="22"/>
        </w:rPr>
      </w:pPr>
      <w:r>
        <w:rPr>
          <w:rFonts w:cs="Calibri"/>
          <w:b w:val="false"/>
          <w:bCs w:val="false"/>
          <w:sz w:val="22"/>
          <w:szCs w:val="22"/>
        </w:rPr>
        <w:t xml:space="preserve">Βεβαίωση από αρμόδια αρχή ότι τα υλικά των ειδών που παρασκευάζονται και διατίθενται μέσω των αυτόματων πωλητών προέρχονται από εταιρείες πιστοποιημένες σύμφωνα με ισχύοντα διεθνή, ευρωπαϊκά ή εθνικά πρότυπα (ISO, ΕΝ, ΕLΟΤ ή άλλο) που εφαρμόζουν σύστημα ΗΑCCP. </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val="false"/>
          <w:bCs w:val="false"/>
          <w:sz w:val="22"/>
          <w:szCs w:val="22"/>
        </w:rPr>
        <w:t xml:space="preserve">Όλα τα μηχανήματα αυτόματης πώλησης τροφίμων και ποτών πρέπει να φέρουν κατάλληλη μεταλλική πλάκα, σε εμφανές σημείο, με χαραγμένο το ονοματεπώνυμο του κατόχου (υγειονομικά υπευθύνου) με πλήρη στοιχεία (τον αριθμό της άδειας του, διεύθυνση έδρας επιχείρησης, τηλέφωνο επικοινωνίας) για άμεση πρόσβαση σε περίπτωση ελέγχου από τις αρμόδιες ελεγκτικές αρχές. </w:t>
      </w:r>
    </w:p>
    <w:p>
      <w:pPr>
        <w:pStyle w:val="Normal"/>
        <w:jc w:val="both"/>
        <w:rPr>
          <w:sz w:val="22"/>
          <w:szCs w:val="22"/>
        </w:rPr>
      </w:pPr>
      <w:r>
        <w:rPr>
          <w:rFonts w:cs="Calibri"/>
          <w:b w:val="false"/>
          <w:bCs w:val="false"/>
          <w:sz w:val="22"/>
          <w:szCs w:val="22"/>
        </w:rPr>
        <w:t>Όλα τα μηχανήματα αυτόματων πωλητών πρέπει να έχουν αναρτημένη ανακοίνωση επιστροφής χρημάτων και τηλέφωνο επικοινωνίας με την εταιρεία σε περίπτωση παρακράτησης χρημάτων.</w:t>
      </w:r>
    </w:p>
    <w:p>
      <w:pPr>
        <w:pStyle w:val="Normal"/>
        <w:jc w:val="both"/>
        <w:rPr>
          <w:sz w:val="22"/>
          <w:szCs w:val="22"/>
        </w:rPr>
      </w:pPr>
      <w:r>
        <w:rPr>
          <w:rFonts w:cs="Calibri"/>
          <w:b w:val="false"/>
          <w:bCs w:val="false"/>
          <w:sz w:val="22"/>
          <w:szCs w:val="22"/>
        </w:rPr>
        <w:t xml:space="preserve">Τα μηχανήματα θα λειτουργούν με ηλεκτρονικό κερματοδέκτη (ή και με πιστωτική /χρεωστική κάρτα) που δέχεται κέρματα των 0,05, 0,10, 0,20, 0,50, 1,00 και 2,00 € και θα επιστρέφουν αντίστοιχα ρέστα των 0,05, 0,10, 0,20 και 0,50 €. </w:t>
      </w:r>
    </w:p>
    <w:p>
      <w:pPr>
        <w:pStyle w:val="Normal"/>
        <w:jc w:val="both"/>
        <w:rPr>
          <w:sz w:val="22"/>
          <w:szCs w:val="22"/>
        </w:rPr>
      </w:pPr>
      <w:r>
        <w:rPr>
          <w:rFonts w:cs="Calibri"/>
          <w:b w:val="false"/>
          <w:bCs w:val="false"/>
          <w:sz w:val="22"/>
          <w:szCs w:val="22"/>
        </w:rPr>
        <w:t xml:space="preserve">Τα μηχανήματα που θα τοποθετηθούν να είναι καινούργια και νέας τεχνολογίας, να συνοδεύονται από εγγύηση καλής λειτουργίας, από πιστοποιητικό καταλληλότητας CΕ σύμφωνα με τα πρότυπα της Ευρωπαϊκής Ένωσης που αναφέρονται στην υγιεινή των τροφίμων και από πιστοποιητικό ποιότητας ΙSΟ </w:t>
      </w:r>
      <w:r>
        <w:rPr>
          <w:rFonts w:cs="Calibri"/>
          <w:b w:val="false"/>
          <w:bCs w:val="false"/>
          <w:color w:val="auto"/>
          <w:sz w:val="22"/>
          <w:szCs w:val="22"/>
        </w:rPr>
        <w:t>9001:20</w:t>
      </w:r>
      <w:r>
        <w:rPr>
          <w:rFonts w:cs="Calibri"/>
          <w:b w:val="false"/>
          <w:bCs w:val="false"/>
          <w:color w:val="auto"/>
          <w:sz w:val="22"/>
          <w:szCs w:val="22"/>
          <w:lang w:val="en-US"/>
        </w:rPr>
        <w:t>15</w:t>
      </w:r>
      <w:r>
        <w:rPr>
          <w:rFonts w:cs="Calibri"/>
          <w:b w:val="false"/>
          <w:bCs w:val="false"/>
          <w:sz w:val="22"/>
          <w:szCs w:val="22"/>
        </w:rPr>
        <w:t xml:space="preserve"> της εταιρείας κατασκευής τους.</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Όλα τα προϊόντα που θα διατίθενται πρέπει να παρασκευάζονται και μεταφέρονται σύμφωνα με τις ισχύουσες Υγειονομικές Διατάξεις περί υγιεινής των τροφίμων. </w:t>
      </w:r>
    </w:p>
    <w:p>
      <w:pPr>
        <w:pStyle w:val="Normal"/>
        <w:jc w:val="both"/>
        <w:rPr>
          <w:sz w:val="22"/>
          <w:szCs w:val="22"/>
        </w:rPr>
      </w:pPr>
      <w:r>
        <w:rPr>
          <w:rFonts w:cs="Calibri"/>
          <w:b w:val="false"/>
          <w:bCs w:val="false"/>
          <w:sz w:val="22"/>
          <w:szCs w:val="22"/>
        </w:rPr>
        <w:t xml:space="preserve">Το μηχάνημα ζεστών-κρύων ροφημάτων, θα πρέπει να μπορεί να παράγει ρόφημα και από κάψουλες, να διαθέτει χάρτινα άσηπτα ποτηράκια τα οποία να είναι κατάλληλα για χρήση τροφίμων, να είναι κατασκευασμένα από αναγνωρισμένες εταιρείες, να φέρουν το ειδικό σήμα χρήσης τροφίμων και να είναι τοποθετημένα σε κατάλληλες θήκες που θα προστατεύονται από φυσικούς (σκόνη) ή χημικούς κινδύνους (απορρυπαντικά) . </w:t>
      </w:r>
    </w:p>
    <w:p>
      <w:pPr>
        <w:pStyle w:val="Normal"/>
        <w:jc w:val="center"/>
        <w:rPr>
          <w:rFonts w:ascii="Calibri" w:hAnsi="Calibri" w:cs="Calibri"/>
          <w:b/>
          <w:bCs/>
          <w:sz w:val="22"/>
          <w:szCs w:val="22"/>
        </w:rPr>
      </w:pPr>
      <w:r>
        <w:rPr>
          <w:rFonts w:cs="Calibri"/>
          <w:b/>
          <w:bCs/>
          <w:sz w:val="22"/>
          <w:szCs w:val="22"/>
        </w:rPr>
      </w:r>
    </w:p>
    <w:p>
      <w:pPr>
        <w:pStyle w:val="Normal"/>
        <w:jc w:val="both"/>
        <w:rPr>
          <w:sz w:val="22"/>
          <w:szCs w:val="22"/>
        </w:rPr>
      </w:pPr>
      <w:r>
        <w:rPr>
          <w:rFonts w:cs="Calibri"/>
          <w:b/>
          <w:bCs/>
          <w:sz w:val="22"/>
          <w:szCs w:val="22"/>
        </w:rPr>
        <w:t xml:space="preserve">ΥΠΟΧΡΕΩΣΕΙΣ ΤΟΥ ΑΝΑΔΟΧΟΥ- ΚΥΡΩΣΕΙΣ </w:t>
      </w:r>
    </w:p>
    <w:p>
      <w:pPr>
        <w:pStyle w:val="Normal"/>
        <w:jc w:val="both"/>
        <w:rPr>
          <w:sz w:val="22"/>
          <w:szCs w:val="22"/>
        </w:rPr>
      </w:pPr>
      <w:r>
        <w:rPr>
          <w:rFonts w:cs="Calibri"/>
          <w:b w:val="false"/>
          <w:bCs w:val="false"/>
          <w:sz w:val="22"/>
          <w:szCs w:val="22"/>
        </w:rPr>
        <w:t xml:space="preserve">1. Ο ανάδοχος είναι υποχρεωμένος να χρησιμοποιεί τους χώρους που θα του επιτραπεί η εγκατάσταση των αυτόματων πωλητών αποκλειστικά και μόνο για τη λειτουργία αυτών. Απαγορεύεται απολύτως </w:t>
      </w:r>
      <w:r>
        <w:rPr>
          <w:rFonts w:cs="Calibri"/>
          <w:b w:val="false"/>
          <w:bCs w:val="false"/>
          <w:color w:val="C9211E"/>
          <w:sz w:val="22"/>
          <w:szCs w:val="22"/>
        </w:rPr>
        <w:t>ή</w:t>
      </w:r>
      <w:r>
        <w:rPr>
          <w:rFonts w:cs="Calibri"/>
          <w:b w:val="false"/>
          <w:bCs w:val="false"/>
          <w:sz w:val="22"/>
          <w:szCs w:val="22"/>
        </w:rPr>
        <w:t xml:space="preserve"> καθ’ οποιονδήποτε άλλο τρόπο χρησιμοποίησης των χώρων όπου πρόκειται να εγκατασταθούν οι αυτόματοι πωλητές.</w:t>
      </w:r>
    </w:p>
    <w:p>
      <w:pPr>
        <w:pStyle w:val="Normal"/>
        <w:jc w:val="both"/>
        <w:rPr>
          <w:sz w:val="22"/>
          <w:szCs w:val="22"/>
        </w:rPr>
      </w:pPr>
      <w:r>
        <w:rPr>
          <w:rFonts w:cs="Calibri"/>
          <w:b w:val="false"/>
          <w:bCs w:val="false"/>
          <w:sz w:val="22"/>
          <w:szCs w:val="22"/>
        </w:rPr>
        <w:t>2. Απαγορεύεται αυστηρά:</w:t>
      </w:r>
    </w:p>
    <w:p>
      <w:pPr>
        <w:pStyle w:val="Normal"/>
        <w:jc w:val="both"/>
        <w:rPr>
          <w:sz w:val="22"/>
          <w:szCs w:val="22"/>
        </w:rPr>
      </w:pPr>
      <w:r>
        <w:rPr>
          <w:rFonts w:cs="Calibri"/>
          <w:b w:val="false"/>
          <w:bCs w:val="false"/>
          <w:sz w:val="22"/>
          <w:szCs w:val="22"/>
        </w:rPr>
        <w:t xml:space="preserve">α) Η διάθεση μέσω των αυτόματων πωλητών, άλλων ειδών (οινοπνευματωδών ποτών, τσιγάρων κλπ) εκτός από αυτά που αναφέρονται στις τεχνικές προδιαγραφές </w:t>
      </w:r>
    </w:p>
    <w:p>
      <w:pPr>
        <w:pStyle w:val="Normal"/>
        <w:jc w:val="both"/>
        <w:rPr>
          <w:sz w:val="22"/>
          <w:szCs w:val="22"/>
        </w:rPr>
      </w:pPr>
      <w:r>
        <w:rPr>
          <w:rFonts w:cs="Calibri"/>
          <w:b w:val="false"/>
          <w:bCs w:val="false"/>
          <w:sz w:val="22"/>
          <w:szCs w:val="22"/>
        </w:rPr>
        <w:t xml:space="preserve">β) Η διατήρηση άλλων αντικειμένων στους χώρους τοποθέτησης των αυτόματων πωλητών, εκτός από τα κατάλληλα δοχεία για την απόρριψη φιαλών, κυπέλων μιας χρήσεως κλπ. </w:t>
      </w:r>
    </w:p>
    <w:p>
      <w:pPr>
        <w:pStyle w:val="Normal"/>
        <w:jc w:val="both"/>
        <w:rPr>
          <w:sz w:val="22"/>
          <w:szCs w:val="22"/>
        </w:rPr>
      </w:pPr>
      <w:r>
        <w:rPr>
          <w:rFonts w:cs="Calibri"/>
          <w:b w:val="false"/>
          <w:bCs w:val="false"/>
          <w:sz w:val="22"/>
          <w:szCs w:val="22"/>
        </w:rPr>
        <w:t>γ) Η ανάρτηση ή τοιχοκόλληση στους χώρους που είναι εγκαταστημένοι οι αυτόματοι πωλητές διαφημίσεων ή ανακοινώσεων χωρίς την άδεια του αρμόδιου οργάνου Διοίκησης.</w:t>
      </w:r>
    </w:p>
    <w:p>
      <w:pPr>
        <w:pStyle w:val="Normal"/>
        <w:jc w:val="both"/>
        <w:rPr>
          <w:sz w:val="22"/>
          <w:szCs w:val="22"/>
        </w:rPr>
      </w:pPr>
      <w:r>
        <w:rPr>
          <w:rFonts w:cs="Calibri"/>
          <w:b w:val="false"/>
          <w:bCs w:val="false"/>
          <w:sz w:val="22"/>
          <w:szCs w:val="22"/>
        </w:rPr>
        <w:t>3. Σε περιπτώσεις που για κάποια από τα πιο κάτω είδη ορίζονται από το Υπουργείο Ανάπτυξης ή άλλη αρμόδια αρχή ενδεικτικές τιμές, αναπροσαρμοζόμενες περαιτέρω με αποφάσεις αρμοδίων οργάνων, οι τιμές διάθεσης των ειδών αυτών δεν μπορεί να είναι ανώτερες από τις ενδεικτικές όπως αυτές θα αναπροσαρμόζονται κατά τη διάρκεια της σύμβασης. Στις περιπτώσεις που κάποια από τα πωλούμενα είδη βρίσκονται ή τεθούν υπό καθεστώς διατίμησης, η αναπροσαρμογή της τιμής τους επιτρέπεται μόνον σε περίπτωση έκδοσης σχετικής απόφασης από το Υπουργείο Ανάπτυξης ή άλλη αρμόδια αρχή.</w:t>
      </w:r>
    </w:p>
    <w:p>
      <w:pPr>
        <w:pStyle w:val="Normal"/>
        <w:jc w:val="both"/>
        <w:rPr>
          <w:sz w:val="22"/>
          <w:szCs w:val="22"/>
        </w:rPr>
      </w:pPr>
      <w:r>
        <w:rPr>
          <w:rFonts w:cs="Calibri"/>
          <w:b w:val="false"/>
          <w:bCs w:val="false"/>
          <w:sz w:val="22"/>
          <w:szCs w:val="22"/>
        </w:rPr>
        <w:t>4. Ο ανάδοχος οφείλει να διασφαλίζει ότι τα πωλούμενα είδη (αναψυκτικά, εμφιαλωμένο νερό, ροφήματα, τρόφιμα κλπ) θα διατηρούνται εντός των μηχανών και θα διατίθενται για το κοινό καλά συντηρημένα και σε άριστη ποιότητα. Έχει επίσης υποχρέωση να διατηρεί, με δική του αποκλειστικά ευθύνη, τους αυτόματους πωλητές σε καλή κατάσταση και απόλυτα καθαρούς, ώστε να αποφεύγεται η μόλυνση των διατιθεμένων ειδών και η παρουσία εντόμων ή άλλων επιβλαβών οργανισμών. Τα αντίστοιχα ισχύουν και για τα χρησιμοποιούμενα μέσα αποθήκευσης και μεταφοράς.</w:t>
      </w:r>
    </w:p>
    <w:p>
      <w:pPr>
        <w:pStyle w:val="Normal"/>
        <w:jc w:val="both"/>
        <w:rPr>
          <w:sz w:val="22"/>
          <w:szCs w:val="22"/>
        </w:rPr>
      </w:pPr>
      <w:r>
        <w:rPr>
          <w:rFonts w:cs="Calibri"/>
          <w:b w:val="false"/>
          <w:bCs w:val="false"/>
          <w:sz w:val="22"/>
          <w:szCs w:val="22"/>
        </w:rPr>
        <w:t xml:space="preserve">5. Οι επιφάνειες και γενικά τα μέρη των μηχανημάτων που έρχονται σε επαφή με τα ποτά, πρέπει να είναι κατασκευασμένα κατά τρόπο τέτοιο, ώστε να διατηρούνται σε άριστη κατάσταση από πλευράς τήρησης των κανόνων υγιεινής και να καθαρίζονται ή όπου είναι αναγκαίο, να απολυμαίνονται με ευκολία. Οι περιέκτες, τα στόμια εξόδου των ποτών και τα λοιπά μέρη των μηχανημάτων που έρχονται σε επαφή μ’ αυτά, πρέπει να καθαρίζονται επιμελώς, κατά τον τρόπο και με τη συχνότητα που προβλέπεται από τις ισχύουσες </w:t>
      </w:r>
      <w:r>
        <w:rPr>
          <w:sz w:val="22"/>
          <w:szCs w:val="22"/>
        </w:rPr>
        <w:t xml:space="preserve">υγειονομικές διατάξεις. Ο κάδος υπερχείλισης θα πρέπει να εκκενώνεται σύμφωνα με τον τακτικό πρόγραμμα καθαρισμού. </w:t>
      </w:r>
    </w:p>
    <w:p>
      <w:pPr>
        <w:pStyle w:val="Normal"/>
        <w:jc w:val="both"/>
        <w:rPr>
          <w:sz w:val="22"/>
          <w:szCs w:val="22"/>
        </w:rPr>
      </w:pPr>
      <w:r>
        <w:rPr>
          <w:rFonts w:cs="Calibri"/>
          <w:b w:val="false"/>
          <w:bCs w:val="false"/>
          <w:sz w:val="22"/>
          <w:szCs w:val="22"/>
        </w:rPr>
        <w:t>6. Ο ανάδοχος οφείλει να φροντίζει για την ύπαρξη κατάλληλης διευθέτησης πλησίον των αυτόματων πωλητών, ώστε να απορρίπτονται σε δοχεία προοριζόμενα για το σκοπό αυτό, οι συσκευασίες των αναλωθέντων ειδών (κενές φιάλες, κύπελλα μιας χρήσης, μεταλλικά κουτιά κλπ).</w:t>
      </w:r>
    </w:p>
    <w:p>
      <w:pPr>
        <w:pStyle w:val="Normal"/>
        <w:jc w:val="both"/>
        <w:rPr>
          <w:sz w:val="22"/>
          <w:szCs w:val="22"/>
        </w:rPr>
      </w:pPr>
      <w:r>
        <w:rPr>
          <w:rFonts w:cs="Calibri"/>
          <w:b w:val="false"/>
          <w:bCs w:val="false"/>
          <w:sz w:val="22"/>
          <w:szCs w:val="22"/>
        </w:rPr>
        <w:t>7. Ο ανάδοχος υποχρεούται σε τακτά χρονικά διαστήματα να πραγματοποιεί ελέγχους για την διασφάλιση της σωστής ανακύκλωσης των τροφίμων, καθώς και για την απομάκρυνση αλλοιωμένων τροφίμων. Μαζί με την προσφορά θα κατατεθεί αναλυτικός τιμοκατάλογος των προϊόντων που διαθέτει η εταιρεία. Θα προτιμηθούν επώνυμα προϊόντα, ευρέως γνωστά στην Ελληνική αγορά.</w:t>
      </w:r>
    </w:p>
    <w:p>
      <w:pPr>
        <w:pStyle w:val="Normal"/>
        <w:jc w:val="both"/>
        <w:rPr>
          <w:sz w:val="22"/>
          <w:szCs w:val="22"/>
        </w:rPr>
      </w:pPr>
      <w:r>
        <w:rPr>
          <w:rFonts w:cs="Calibri"/>
          <w:b w:val="false"/>
          <w:bCs w:val="false"/>
          <w:sz w:val="22"/>
          <w:szCs w:val="22"/>
        </w:rPr>
        <w:t>8. Ο ανάδοχος υποχρεούται γενικά να συμμορφώνεται επακριβώς, ως προς ότι αφορά τη λειτουργία, τη συντήρηση, τον καθορισμό και τον ανεφοδιασμό των αυτόματων- πωλητών προς τις διατάξεις της υπ’ αριθμ.487/21-9-2000 κοινής υπουργικής απόφασης «Υγιεινή των τροφίμων σε συμμόρφωση προς την οδηγία 93/43/ΕΟΚ του Συμβουλίου» (Φ.Ε.Κ. Β’ 1219/4- 10-2000), όπως ισχύει, της υπ’ αριθμ.ΑΙΒ/8577/1983 Υγειονομικής διάταξης (ΦΕΚ Β'526/24- 9-1983), όπως ισχύει, καθώς και ως προς κάθε άλλη συναφή υγειονομική, αστυνομική, αγορανομική ή άλλη σχετική διάταξη, είναι δε μόνος υπεύθυνος για την τήρηση αυτών απέναντι σε κάθε δημόσια αρχή ή τους καταναλωτές. Οφείλει επίσης να δέχεται απροφάσιστα και να διευκολύνει σε οποιοδήποτε χρόνο, τους διενεργούμενους ελέγχους. Ο καθαρισμός και η μέθοδος απολύμανσης των αυτομάτων πωλητών θα είναι κάθε φορά η ενδεδειγμένη και σύμφωνα με τις προδιαγραφές που θέτει ο κατασκευαστής αλλά οπωσδήποτε να διασφαλίζεται η υγιεινή και ασφάλεια των τροφίμων και αναψυκτικών.</w:t>
      </w:r>
    </w:p>
    <w:p>
      <w:pPr>
        <w:pStyle w:val="Normal"/>
        <w:jc w:val="both"/>
        <w:rPr>
          <w:sz w:val="22"/>
          <w:szCs w:val="22"/>
        </w:rPr>
      </w:pPr>
      <w:r>
        <w:rPr>
          <w:rFonts w:cs="Calibri"/>
          <w:b w:val="false"/>
          <w:bCs w:val="false"/>
          <w:sz w:val="22"/>
          <w:szCs w:val="22"/>
        </w:rPr>
        <w:t>9. Ο ανάδοχος οφείλει να τηρεί τους κανόνες λειτουργίας του Νοσοκομείου και ασφαλείας των χώρων και εγκαταστάσεων αυτού με βάση τις σχετικές οδηγίες και υποδείξεις των αρμόδιων Υπηρεσιών του Νοσοκομείου. Οφείλει ειδικότερα να συμμορφώνεται προς τις συστάσεις ή εντολές των οργάνων του Νοσοκομείου που είναι αρμόδια για την τήρηση των κανόνων υγιεινής εντός των χώρων αυτού.</w:t>
      </w:r>
    </w:p>
    <w:p>
      <w:pPr>
        <w:pStyle w:val="Normal"/>
        <w:jc w:val="both"/>
        <w:rPr>
          <w:sz w:val="22"/>
          <w:szCs w:val="22"/>
        </w:rPr>
      </w:pPr>
      <w:r>
        <w:rPr>
          <w:rFonts w:cs="Calibri"/>
          <w:b w:val="false"/>
          <w:bCs w:val="false"/>
          <w:sz w:val="22"/>
          <w:szCs w:val="22"/>
        </w:rPr>
        <w:t>10. Ο ανάδοχος έχει την αποκλειστική ευθύνη (και υφίσταται μόνος αυτός τις έννομες συνέπειες) για ενδεχόμενη πρόκληση βλάβης στην υγεία των ασθενών, των συνοδών, του προσωπικού και των επισκεπτών του Νοσοκομείου, οφειλόμενη στην κατανάλωση επικινδύνων, επιβλαβών ή γενικά ακατάλληλων ειδών μέσω των αυτόματων πωλητών.</w:t>
      </w:r>
    </w:p>
    <w:p>
      <w:pPr>
        <w:pStyle w:val="Normal"/>
        <w:jc w:val="both"/>
        <w:rPr>
          <w:sz w:val="22"/>
          <w:szCs w:val="22"/>
        </w:rPr>
      </w:pPr>
      <w:r>
        <w:rPr>
          <w:rFonts w:cs="Calibri"/>
          <w:b w:val="false"/>
          <w:bCs w:val="false"/>
          <w:sz w:val="22"/>
          <w:szCs w:val="22"/>
        </w:rPr>
        <w:t xml:space="preserve">11.Ο ανάδοχος οφείλει να εξασφαλίζει την καθημερινή αδιάλειπτη (24ώρη) λειτουργία των αυτόματων πωλητών, καθ’ όλη τη διάρκεια της ισχύος της σύμβασης. Ο ανεφοδιασμός των μηχανημάτων γίνεται κατά τη διάρκεια του πρωινού ωραρίου λειτουργίας των Υπηρεσιών του Νοσοκομείου. Τυχών βλάβες των μηχανημάτων θα αποκαθίστανται από τον ανάδοχο εντός μιας εργάσιμης ημέρας από την ειδοποίηση του. </w:t>
      </w:r>
    </w:p>
    <w:p>
      <w:pPr>
        <w:pStyle w:val="Normal"/>
        <w:jc w:val="both"/>
        <w:rPr>
          <w:sz w:val="22"/>
          <w:szCs w:val="22"/>
        </w:rPr>
      </w:pPr>
      <w:r>
        <w:rPr>
          <w:rFonts w:cs="Calibri"/>
          <w:b w:val="false"/>
          <w:bCs w:val="false"/>
          <w:sz w:val="22"/>
          <w:szCs w:val="22"/>
        </w:rPr>
        <w:t xml:space="preserve">12.Ο ανάδοχος είναι υποχρεωμένος να διαθέτει το αναγκαίο ειδικευμένο προσωπικό για την εκτέλεση της σύμβαση έναντι του οποίου θα είναι ο μόνος και αποκλειστικός υπεύθυνος, όσον αφορά τις υποχρεώσεις του που απορρέουν από την εργατική νομοθεσία. </w:t>
      </w:r>
    </w:p>
    <w:p>
      <w:pPr>
        <w:pStyle w:val="Normal"/>
        <w:jc w:val="both"/>
        <w:rPr>
          <w:sz w:val="22"/>
          <w:szCs w:val="22"/>
        </w:rPr>
      </w:pPr>
      <w:r>
        <w:rPr>
          <w:rFonts w:cs="Calibri"/>
          <w:b w:val="false"/>
          <w:bCs w:val="false"/>
          <w:sz w:val="22"/>
          <w:szCs w:val="22"/>
        </w:rPr>
        <w:t>13.Τα υλικά και οι εργασίες που θα απαιτηθούν για την εγκατάσταση των μηχανημάτων θα επιβαρύνουν τον ανάδοχο.</w:t>
      </w:r>
    </w:p>
    <w:p>
      <w:pPr>
        <w:pStyle w:val="Normal"/>
        <w:jc w:val="both"/>
        <w:rPr>
          <w:sz w:val="22"/>
          <w:szCs w:val="22"/>
        </w:rPr>
      </w:pPr>
      <w:r>
        <w:rPr>
          <w:rFonts w:cs="Calibri"/>
          <w:b w:val="false"/>
          <w:bCs w:val="false"/>
          <w:sz w:val="22"/>
          <w:szCs w:val="22"/>
        </w:rPr>
        <w:t>14. Οι αυτόματοι πωλητές θα παραμείνουν στον χώρο του  Νοσοκομείου μέχρι την  ολοκλήρωση δημόσιου πλειοδοτικού διαγωνισμού εκμίσθωσης του κυλικείου.</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val="false"/>
          <w:bCs w:val="false"/>
          <w:sz w:val="22"/>
          <w:szCs w:val="22"/>
        </w:rPr>
        <w:t xml:space="preserve">Κατά την λειτουργία των αυτομάτων πωλητών ο ανάδοχος να προσκομίσει ΦΑΚΕΛΟ που θα περιέχει: </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val="false"/>
          <w:bCs w:val="false"/>
          <w:sz w:val="22"/>
          <w:szCs w:val="22"/>
        </w:rPr>
        <w:t xml:space="preserve">α) Πρόγραμμα καθαριότητας με αντίστοιχη εκπαίδευση του προσωπικού. </w:t>
      </w:r>
    </w:p>
    <w:p>
      <w:pPr>
        <w:pStyle w:val="Normal"/>
        <w:jc w:val="both"/>
        <w:rPr>
          <w:sz w:val="22"/>
          <w:szCs w:val="22"/>
        </w:rPr>
      </w:pPr>
      <w:r>
        <w:rPr>
          <w:rFonts w:cs="Calibri"/>
          <w:b w:val="false"/>
          <w:bCs w:val="false"/>
          <w:sz w:val="22"/>
          <w:szCs w:val="22"/>
        </w:rPr>
        <w:t>β) Δελτίο τήρησης του προγράμματος καθαριότητας (checklist) και τις ημερομηνίες καθαρισμού. γ) Επαλήθευση του προγράμματος καθαριότητας (π.χ. χρωματικά τεστ).</w:t>
      </w:r>
    </w:p>
    <w:p>
      <w:pPr>
        <w:pStyle w:val="Normal"/>
        <w:jc w:val="both"/>
        <w:rPr>
          <w:sz w:val="22"/>
          <w:szCs w:val="22"/>
        </w:rPr>
      </w:pPr>
      <w:r>
        <w:rPr>
          <w:rFonts w:cs="Calibri"/>
          <w:b w:val="false"/>
          <w:bCs w:val="false"/>
          <w:sz w:val="22"/>
          <w:szCs w:val="22"/>
        </w:rPr>
        <w:t xml:space="preserve">δ) Επικύρωση της αποτελεσματικότητας του προγράμματος καθαρισμού όπου απαιτείται (π.χ. swap test, λουμινόμετρο κ.α. </w:t>
      </w:r>
    </w:p>
    <w:p>
      <w:pPr>
        <w:pStyle w:val="Normal"/>
        <w:jc w:val="both"/>
        <w:rPr>
          <w:sz w:val="22"/>
          <w:szCs w:val="22"/>
        </w:rPr>
      </w:pPr>
      <w:r>
        <w:rPr>
          <w:rFonts w:cs="Calibri"/>
          <w:b w:val="false"/>
          <w:bCs w:val="false"/>
          <w:sz w:val="22"/>
          <w:szCs w:val="22"/>
        </w:rPr>
        <w:t xml:space="preserve">ε) Αρχείο θερμοκρασιών λειτουργίας των αυτομάτων πωλητών (όπου απαιτείται). </w:t>
      </w:r>
    </w:p>
    <w:p>
      <w:pPr>
        <w:pStyle w:val="Normal"/>
        <w:jc w:val="both"/>
        <w:rPr>
          <w:sz w:val="22"/>
          <w:szCs w:val="22"/>
        </w:rPr>
      </w:pPr>
      <w:r>
        <w:rPr>
          <w:rFonts w:cs="Calibri"/>
          <w:b w:val="false"/>
          <w:bCs w:val="false"/>
          <w:sz w:val="22"/>
          <w:szCs w:val="22"/>
        </w:rPr>
        <w:t xml:space="preserve">στ) Σύστημα ιχνηλασιμότητας. Ο ανάδοχος θα πρέπει να είναι σε θέση να εντοπίσει την προσέλευση τον αριθμό παρτίδας την ημερομηνία παραγωγής και ημερομηνία λήξης όλων των τροφίμων που προσφέρονται σε κάθε αυτόματο πωλητή. </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bCs/>
          <w:sz w:val="22"/>
          <w:szCs w:val="22"/>
        </w:rPr>
        <w:t>Το Νοσοκομείο δεν φέρει καμία ευθύνη</w:t>
      </w:r>
      <w:r>
        <w:rPr>
          <w:rFonts w:cs="Calibri"/>
          <w:b w:val="false"/>
          <w:bCs w:val="false"/>
          <w:sz w:val="22"/>
          <w:szCs w:val="22"/>
        </w:rPr>
        <w:t xml:space="preserve"> για οποιαδήποτε ζημιά που τυχόν προκληθεί στα μηχανήματα από οποιαδήποτε αιτία, όπως ενδεικτικά: από σεισμό, πλημμύρα, ή άλλα περιστατικά ανώτερης βίας, πυρκαγιά, κλοπή, διείσδυση υγρών, κακή λειτουργία σωληνώσεων, βραχυκύκλωμα ή άλλο λόγο, έστω και να αυτός δεν κατονομάζεται ρητά στην παρούσα, καθώς και για ζημιές έναντι των κινδύνων που προαναφέρθηκαν, καθώς και για την αστική ευθύνη του για ζημιές προξενούμενες στο Νοσοκομείο ή σε τρίτους κατά τη λειτουργία των μηχανημάτων ή εξαιτίας αυτής. </w:t>
      </w:r>
    </w:p>
    <w:p>
      <w:pPr>
        <w:pStyle w:val="Normal"/>
        <w:jc w:val="both"/>
        <w:rPr>
          <w:sz w:val="22"/>
          <w:szCs w:val="22"/>
        </w:rPr>
      </w:pPr>
      <w:r>
        <w:rPr>
          <w:rFonts w:cs="Calibri"/>
          <w:b w:val="false"/>
          <w:bCs w:val="false"/>
          <w:sz w:val="22"/>
          <w:szCs w:val="22"/>
        </w:rPr>
        <w:t>Τα μηχανήματα που θα εγκατασταθούν, καθώς και κάθε άλλο βοηθητικό αντικείμενο απαραίτητο για τη λειτουργία τους, αποτελούν περιουσιακά στοιχεία του αναδόχου, ο οποίος κατά τη λήξη ή την καθ οποιονδήποτε τρόπο λύση της σύμβασης, οφείλει να τα αποσυνδέσει με προσοχή από τις παροχές ηλεκτρικού ρεύματος και ύδρευσης και να τα απομακρύνει με δική του ευθύνη από τους χώρους του ΝΟΣΟΚΟΜΕΙΟΥ.</w:t>
      </w:r>
    </w:p>
    <w:p>
      <w:pPr>
        <w:pStyle w:val="Normal"/>
        <w:jc w:val="both"/>
        <w:rPr>
          <w:sz w:val="22"/>
          <w:szCs w:val="22"/>
        </w:rPr>
      </w:pPr>
      <w:r>
        <w:rPr>
          <w:rFonts w:cs="Calibri"/>
          <w:b w:val="false"/>
          <w:bCs w:val="false"/>
          <w:sz w:val="22"/>
          <w:szCs w:val="22"/>
        </w:rPr>
        <w:t xml:space="preserve">Εάν παρά ταύτα ο ανάδοχος αδρανήσει, το ΝΟΣΟΚΟΜΕΙΟ έχει το δικαίωμα, μετά από προηγουμένη έγγραφη ειδοποίηση του αναδόχου τουλάχιστον προ δέκα (10) ημερών και χωρίς υποχρέωση αποζημίωσης του αναδόχου να αποσυνδέσει τα μηχανήματα και να τα μεταφέρει προς φύλαξη σε άλλο χώρο. Η δαπάνη που προκαλείται από την αιτία αυτή θα βαρύνει τον ανάδοχο. </w:t>
      </w:r>
    </w:p>
    <w:p>
      <w:pPr>
        <w:pStyle w:val="Normal"/>
        <w:jc w:val="both"/>
        <w:rPr>
          <w:sz w:val="22"/>
          <w:szCs w:val="22"/>
        </w:rPr>
      </w:pPr>
      <w:r>
        <w:rPr>
          <w:rFonts w:cs="Calibri"/>
          <w:b w:val="false"/>
          <w:bCs w:val="false"/>
          <w:sz w:val="22"/>
          <w:szCs w:val="22"/>
        </w:rPr>
        <w:t>1. Ο ανάδοχος υποχρεούται αμέσως μετά τη σύναψη της σύμβασης, να εξασφαλίσει με δική του αποκλειστικά μέριμνα την απαιτούμενη διοικητική άδεια για την εγκατάσταση και λειτουργία των αυτόματων πωλητών. Αντίγραφο της άδειας θα πρέπει να κατατεθεί στο Γραφείο Προμηθειών. Δεν επιτρέπεται να τεθούν σε λειτουργία οι αυτόματοι πωλητές πριν από τη λήψη της άδειας.</w:t>
      </w:r>
    </w:p>
    <w:p>
      <w:pPr>
        <w:pStyle w:val="Normal"/>
        <w:jc w:val="both"/>
        <w:rPr>
          <w:sz w:val="22"/>
          <w:szCs w:val="22"/>
        </w:rPr>
      </w:pPr>
      <w:r>
        <w:rPr>
          <w:rFonts w:cs="Calibri"/>
          <w:b w:val="false"/>
          <w:bCs w:val="false"/>
          <w:sz w:val="22"/>
          <w:szCs w:val="22"/>
        </w:rPr>
        <w:t>2. Ο ανάδοχος υποχρεούται στην αποκατάσταση, με δική του αποκλειστικά δαπάνη, οποιασδήποτε βλάβης ή φθοράς που τυχόν προκληθεί στους χώρους και τις εγκαταστάσεις του ΝΟΣΟΚΟΜΕΙΟΥ από κακή λειτουργία των αυτόματων πωλητών.</w:t>
      </w:r>
    </w:p>
    <w:p>
      <w:pPr>
        <w:pStyle w:val="Normal"/>
        <w:jc w:val="both"/>
        <w:rPr>
          <w:sz w:val="22"/>
          <w:szCs w:val="22"/>
        </w:rPr>
      </w:pPr>
      <w:r>
        <w:rPr>
          <w:rFonts w:cs="Calibri"/>
          <w:b w:val="false"/>
          <w:bCs w:val="false"/>
          <w:sz w:val="22"/>
          <w:szCs w:val="22"/>
        </w:rPr>
        <w:t>3. Το ΝΟΣΟΚΟΜΕΙΟ δεν ευθύνεται έναντι του αναδόχου για την πραγματική κατάσταση στην οποία βρίσκονται οι χώροι όπου θα εγκατασταθούν οι αυτόματοι πωλητές. Ο ανάδοχος δεν δικαιούται, εκ του λόγου τούτου, να ζητήσει την επιστροφή ή μείωση της αποζημίωσης ή τη λύση της σύμβασης.</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4. Το ΝΟΣΟΚΟΜΕΙΟ καθ’ όλη τη διάρκεια της σύμβασης, δεν υποχρεούται σε καμιά ανακαίνιση, βελτίωση, προσθήκη ή επισκευή στους χώρους τοποθέτησης των αυτόματων πωλητών, εφόσον οι εργασίες αυτές εξυπηρετούν αποκλειστικά και μόνον τη λειτουργία των μηχανημάτων. </w:t>
      </w:r>
    </w:p>
    <w:p>
      <w:pPr>
        <w:pStyle w:val="Normal"/>
        <w:jc w:val="both"/>
        <w:rPr>
          <w:sz w:val="22"/>
          <w:szCs w:val="22"/>
        </w:rPr>
      </w:pPr>
      <w:r>
        <w:rPr>
          <w:rFonts w:cs="Calibri"/>
          <w:b w:val="false"/>
          <w:bCs w:val="false"/>
          <w:sz w:val="22"/>
          <w:szCs w:val="22"/>
        </w:rPr>
        <w:t>5. Από την κατακύρωση του αποτελέσματος του διαγωνισμού και εφεξής, ο ανάδοχος δεν δικαιούται να ζητήσει, για οποιοδήποτε λόγο και αιτία, μείωση του καταβαλλόμενου υπέρ του ΝΟΣΟΚΟΜΕΙΟΥ μηνιαίου μισθώματος. Η μεταφορά κλινικών, εργαστηρίων ή μονάδων ή μείωση των κλινών ή του αριθμού του προσωπικού ή άλλες παρόμοιες μεταβολές δεν επηρεάζουν το ύψος του μηνιαίου μισθώματος.</w:t>
      </w:r>
    </w:p>
    <w:p>
      <w:pPr>
        <w:pStyle w:val="Normal"/>
        <w:jc w:val="both"/>
        <w:rPr>
          <w:sz w:val="22"/>
          <w:szCs w:val="22"/>
        </w:rPr>
      </w:pPr>
      <w:r>
        <w:rPr>
          <w:rFonts w:cs="Calibri"/>
          <w:b w:val="false"/>
          <w:bCs w:val="false"/>
          <w:sz w:val="22"/>
          <w:szCs w:val="22"/>
        </w:rPr>
        <w:t>6. Απαγορεύεται απολύτως η μερική ή ολική μίσθωση ή η καθ’ οιονδήποτε τρόπο η παραχώρηση της χρήσης των αυτόματων πωλητών σε τρίτους, καθώς και η διάθεση μέσω αυτών, ειδών άλλων από αυτά που περιγράφονται στην παρούσα διακήρυξη.</w:t>
      </w:r>
    </w:p>
    <w:p>
      <w:pPr>
        <w:pStyle w:val="Normal"/>
        <w:jc w:val="both"/>
        <w:rPr>
          <w:sz w:val="22"/>
          <w:szCs w:val="22"/>
        </w:rPr>
      </w:pPr>
      <w:r>
        <w:rPr>
          <w:rFonts w:cs="Calibri"/>
          <w:b w:val="false"/>
          <w:bCs w:val="false"/>
          <w:sz w:val="22"/>
          <w:szCs w:val="22"/>
        </w:rPr>
        <w:t>7. Το ΝΟΣΟΚΟΜΕΙΟ έχει το δικαίωμα να διενεργεί οποτεδήποτε ελέγχους μέσω των αρμοδίων οργάνων του για να εξακριβώνει την κατάσταση των μηχανημάτων, την τήρηση των κανόνων καλής λειτουργίας τους, την ποιότητα και την καθαριότητα των διατιθεμένων ειδών, τις συνθήκες συντήρησης και παρασκευής τους και γενικά την συμμόρφωση του αναδόχου προς τις ισχύουσες υγειονομικές διατάξεις και τις υποχρεώσεις του που απορρέουν από την παρούσα διακήρυξη και τη σύμβαση που θα συναφθεί. Τα δείγματα που θα λαμβάνονται στο πλαίσιο του ελέγχου θα αποστέλλονται προς εξέταση σε πιστοποιημένα εργαστήρια, τουλάχιστον μία φορά ανά 15ήμερο και τα έξοδα θα επιβαρύνουν τον ανάδοχο.</w:t>
      </w:r>
    </w:p>
    <w:p>
      <w:pPr>
        <w:pStyle w:val="Normal"/>
        <w:jc w:val="both"/>
        <w:rPr>
          <w:sz w:val="22"/>
          <w:szCs w:val="22"/>
        </w:rPr>
      </w:pPr>
      <w:r>
        <w:rPr>
          <w:rFonts w:cs="Calibri"/>
          <w:b w:val="false"/>
          <w:bCs w:val="false"/>
          <w:sz w:val="22"/>
          <w:szCs w:val="22"/>
        </w:rPr>
        <w:t>8.Το ΝΟΣΟΚΟΜΕΙΟ έχει το δικαίωμα να ειδοποιεί την εταιρεία για οποιαδήποτε βλάβη παρουσιαστεί στους αυτόματους πωλητές και η εταιρεία οφείλει να επισκευάσει τα μηχανήματα εντός 24ώρου.</w:t>
      </w:r>
    </w:p>
    <w:p>
      <w:pPr>
        <w:pStyle w:val="Normal"/>
        <w:jc w:val="both"/>
        <w:rPr>
          <w:sz w:val="22"/>
          <w:szCs w:val="22"/>
        </w:rPr>
      </w:pPr>
      <w:r>
        <w:rPr>
          <w:rFonts w:cs="Calibri"/>
          <w:b w:val="false"/>
          <w:bCs w:val="false"/>
          <w:sz w:val="22"/>
          <w:szCs w:val="22"/>
        </w:rPr>
        <w:t>9. Όλα τα μηχανήματα αυτόματων πωλητών πρέπει να έχουν αναρτημένη ανακοίνωση επιστροφής χρημάτων και τηλέφωνο επικοινωνίας με την εταιρεία σε περίπτωση παρακράτησης χρημάτων.</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bCs/>
          <w:sz w:val="22"/>
          <w:szCs w:val="22"/>
        </w:rPr>
        <w:t>ΤΕΧΝΙΚΑ ΧΑΡΑΚΤΗΡΙΣΤΙΚΑ ΤΩΝ ΑΥΤΟΜΑΤΩΝ ΠΩΛΗΤΩΝ</w:t>
      </w:r>
    </w:p>
    <w:p>
      <w:pPr>
        <w:pStyle w:val="Normal"/>
        <w:jc w:val="both"/>
        <w:rPr>
          <w:sz w:val="22"/>
          <w:szCs w:val="22"/>
        </w:rPr>
      </w:pPr>
      <w:r>
        <w:rPr>
          <w:rFonts w:cs="Calibri"/>
          <w:b/>
          <w:bCs/>
          <w:sz w:val="22"/>
          <w:szCs w:val="22"/>
        </w:rPr>
        <w:t>1. Αυτόματοι πωλητές ροφημάτων</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Οι αυτόματοι πωλητές ζεστών και κρύων ροφημάτων να διαθέτουν αυτόματο διακόπτη λειτουργίας για την περίπτωση όπου ο κάδος υπερχείλισης είναι πλήρης, ηλεκτρική τροφοδοσία, 220-230 V AC, όλα αυτά να είναι εμφανίσιμοι και χωρίς διαφημίσεις, ένδειξη CE και να παρέχουν τουλάχιστον τα παρακάτω ροφήματα:</w:t>
      </w:r>
    </w:p>
    <w:p>
      <w:pPr>
        <w:pStyle w:val="Normal"/>
        <w:jc w:val="both"/>
        <w:rPr>
          <w:sz w:val="22"/>
          <w:szCs w:val="22"/>
        </w:rPr>
      </w:pPr>
      <w:r>
        <w:rPr>
          <w:rFonts w:cs="Calibri"/>
          <w:b w:val="false"/>
          <w:bCs w:val="false"/>
          <w:sz w:val="22"/>
          <w:szCs w:val="22"/>
        </w:rPr>
        <w:t>1. Στιγμιαίο καφέ ζεστό και κρύο με και χωρίς γάλα 2.</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Στιγμιαίο καφέ decaffeinated ζεστό και κρύο, με και χωρίς γάλα</w:t>
      </w:r>
    </w:p>
    <w:p>
      <w:pPr>
        <w:pStyle w:val="Normal"/>
        <w:jc w:val="both"/>
        <w:rPr>
          <w:sz w:val="22"/>
          <w:szCs w:val="22"/>
        </w:rPr>
      </w:pPr>
      <w:r>
        <w:rPr>
          <w:rFonts w:cs="Calibri"/>
          <w:b w:val="false"/>
          <w:bCs w:val="false"/>
          <w:sz w:val="22"/>
          <w:szCs w:val="22"/>
        </w:rPr>
        <w:t>3. Σοκολάτα ζεστή-κρύα</w:t>
      </w:r>
    </w:p>
    <w:p>
      <w:pPr>
        <w:pStyle w:val="Normal"/>
        <w:jc w:val="both"/>
        <w:rPr>
          <w:sz w:val="22"/>
          <w:szCs w:val="22"/>
        </w:rPr>
      </w:pPr>
      <w:r>
        <w:rPr>
          <w:rFonts w:cs="Calibri"/>
          <w:b w:val="false"/>
          <w:bCs w:val="false"/>
          <w:sz w:val="22"/>
          <w:szCs w:val="22"/>
        </w:rPr>
        <w:t>4. Εspesso ζεστό-κρύο</w:t>
      </w:r>
    </w:p>
    <w:p>
      <w:pPr>
        <w:pStyle w:val="Normal"/>
        <w:jc w:val="both"/>
        <w:rPr>
          <w:sz w:val="22"/>
          <w:szCs w:val="22"/>
        </w:rPr>
      </w:pPr>
      <w:r>
        <w:rPr>
          <w:rFonts w:cs="Calibri"/>
          <w:b w:val="false"/>
          <w:bCs w:val="false"/>
          <w:sz w:val="22"/>
          <w:szCs w:val="22"/>
        </w:rPr>
        <w:t>5. Cappouccino ζεστό-κρύο</w:t>
      </w:r>
    </w:p>
    <w:p>
      <w:pPr>
        <w:pStyle w:val="Normal"/>
        <w:jc w:val="both"/>
        <w:rPr>
          <w:sz w:val="22"/>
          <w:szCs w:val="22"/>
        </w:rPr>
      </w:pPr>
      <w:r>
        <w:rPr>
          <w:rFonts w:cs="Calibri"/>
          <w:b w:val="false"/>
          <w:bCs w:val="false"/>
          <w:sz w:val="22"/>
          <w:szCs w:val="22"/>
        </w:rPr>
        <w:t>6. Καφές φίλτρου με και χωρίς γάλα</w:t>
      </w:r>
    </w:p>
    <w:p>
      <w:pPr>
        <w:pStyle w:val="Normal"/>
        <w:jc w:val="both"/>
        <w:rPr>
          <w:sz w:val="22"/>
          <w:szCs w:val="22"/>
        </w:rPr>
      </w:pPr>
      <w:r>
        <w:rPr>
          <w:rFonts w:cs="Calibri"/>
          <w:b w:val="false"/>
          <w:bCs w:val="false"/>
          <w:sz w:val="22"/>
          <w:szCs w:val="22"/>
        </w:rPr>
        <w:t>7. Τσάι ζεστό και κρύο</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Για τα ροφήματα να υπάρχει η επιλογή της ζάχαρης σε διάφορες βαθμίδες αλλά και γλυκαντικής ουσίας (υποκατάστατο ζάχαρης χωρίς θερμίδες) . </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bCs/>
          <w:sz w:val="22"/>
          <w:szCs w:val="22"/>
        </w:rPr>
        <w:t xml:space="preserve">Η δημιουργία του ροφήματος θα γίνεται με κανονικές μερίδες από υλικό το οποίο θα είναι διαπιστευμένο και επώνυμο για κάθε ρόφημα ξεχωριστά. </w:t>
      </w:r>
    </w:p>
    <w:p>
      <w:pPr>
        <w:pStyle w:val="Normal"/>
        <w:jc w:val="both"/>
        <w:rPr>
          <w:rFonts w:ascii="Calibri" w:hAnsi="Calibri" w:cs="Calibri"/>
          <w:b/>
          <w:bCs/>
          <w:sz w:val="22"/>
          <w:szCs w:val="22"/>
        </w:rPr>
      </w:pPr>
      <w:r>
        <w:rPr>
          <w:rFonts w:cs="Calibri"/>
          <w:b/>
          <w:bCs/>
          <w:sz w:val="22"/>
          <w:szCs w:val="22"/>
        </w:rPr>
      </w:r>
    </w:p>
    <w:p>
      <w:pPr>
        <w:pStyle w:val="Normal"/>
        <w:jc w:val="both"/>
        <w:rPr>
          <w:sz w:val="22"/>
          <w:szCs w:val="22"/>
        </w:rPr>
      </w:pPr>
      <w:r>
        <w:rPr>
          <w:rFonts w:cs="Calibri"/>
          <w:b w:val="false"/>
          <w:bCs w:val="false"/>
          <w:sz w:val="22"/>
          <w:szCs w:val="22"/>
        </w:rPr>
        <w:t xml:space="preserve">Τα υλικά και τα κύπελλα σερβιρίσματος για κάθε αυτόματο πωλητή ροφημάτων είναι ευθύνη του αναδόχου του έργου για όσο χρονικό διάστημα ισχύει η συνεργασία μίσθωσης. </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both"/>
        <w:rPr>
          <w:sz w:val="22"/>
          <w:szCs w:val="22"/>
        </w:rPr>
      </w:pPr>
      <w:r>
        <w:rPr>
          <w:rFonts w:cs="Calibri"/>
          <w:b/>
          <w:bCs/>
          <w:sz w:val="22"/>
          <w:szCs w:val="22"/>
        </w:rPr>
        <w:t>2. Αυτόματοι πωλητές αναψυκτικών, νερού και snack</w:t>
      </w:r>
    </w:p>
    <w:p>
      <w:pPr>
        <w:pStyle w:val="Normal"/>
        <w:jc w:val="both"/>
        <w:rPr>
          <w:sz w:val="22"/>
          <w:szCs w:val="22"/>
        </w:rPr>
      </w:pPr>
      <w:r>
        <w:rPr>
          <w:rFonts w:cs="Calibri"/>
          <w:b w:val="false"/>
          <w:bCs w:val="false"/>
          <w:sz w:val="22"/>
          <w:szCs w:val="22"/>
        </w:rPr>
        <w:t xml:space="preserve">Οι αυτόματοι πωλητές νερού- αναψυκτικών και snack θα πρέπει να έχουν ηλεκτρική τροφοδοσία, 220-230 V AC, να είναι εμφανίσιμοι με καμπύλες και χωρίς διαφημίσεις, ένδειξη CΕ και να παρέχουν τουλάχιστον τα παρακάτω: </w:t>
      </w:r>
    </w:p>
    <w:p>
      <w:pPr>
        <w:pStyle w:val="Normal"/>
        <w:numPr>
          <w:ilvl w:val="0"/>
          <w:numId w:val="6"/>
        </w:numPr>
        <w:jc w:val="both"/>
        <w:rPr>
          <w:sz w:val="22"/>
          <w:szCs w:val="22"/>
        </w:rPr>
      </w:pPr>
      <w:r>
        <w:rPr>
          <w:rFonts w:cs="Calibri"/>
          <w:b w:val="false"/>
          <w:bCs w:val="false"/>
          <w:sz w:val="22"/>
          <w:szCs w:val="22"/>
        </w:rPr>
        <w:t xml:space="preserve">Αναψυκτικά Τύπου cola ( με και χωρίς ζάχαρη) </w:t>
      </w:r>
    </w:p>
    <w:p>
      <w:pPr>
        <w:pStyle w:val="Normal"/>
        <w:numPr>
          <w:ilvl w:val="0"/>
          <w:numId w:val="6"/>
        </w:numPr>
        <w:jc w:val="both"/>
        <w:rPr>
          <w:sz w:val="22"/>
          <w:szCs w:val="22"/>
        </w:rPr>
      </w:pPr>
      <w:r>
        <w:rPr>
          <w:rFonts w:cs="Calibri"/>
          <w:b w:val="false"/>
          <w:bCs w:val="false"/>
          <w:sz w:val="22"/>
          <w:szCs w:val="22"/>
        </w:rPr>
        <w:t xml:space="preserve">Αναψυκτικά πορτοκαλάδα και λεμονάδα </w:t>
      </w:r>
    </w:p>
    <w:p>
      <w:pPr>
        <w:pStyle w:val="Normal"/>
        <w:numPr>
          <w:ilvl w:val="0"/>
          <w:numId w:val="6"/>
        </w:numPr>
        <w:jc w:val="both"/>
        <w:rPr>
          <w:sz w:val="22"/>
          <w:szCs w:val="22"/>
        </w:rPr>
      </w:pPr>
      <w:r>
        <w:rPr>
          <w:rFonts w:cs="Calibri"/>
          <w:b w:val="false"/>
          <w:bCs w:val="false"/>
          <w:sz w:val="22"/>
          <w:szCs w:val="22"/>
        </w:rPr>
        <w:t xml:space="preserve">Τσάι κρύο (με και χωρίς ζάχαρη) </w:t>
      </w:r>
    </w:p>
    <w:p>
      <w:pPr>
        <w:pStyle w:val="Normal"/>
        <w:numPr>
          <w:ilvl w:val="0"/>
          <w:numId w:val="6"/>
        </w:numPr>
        <w:jc w:val="both"/>
        <w:rPr>
          <w:sz w:val="22"/>
          <w:szCs w:val="22"/>
        </w:rPr>
      </w:pPr>
      <w:r>
        <w:rPr>
          <w:rFonts w:cs="Calibri"/>
          <w:b w:val="false"/>
          <w:bCs w:val="false"/>
          <w:sz w:val="22"/>
          <w:szCs w:val="22"/>
        </w:rPr>
        <w:t xml:space="preserve">Φυσικοί χυμοί φρούτων χωρίς προσθήκη ζάχαρης </w:t>
      </w:r>
    </w:p>
    <w:p>
      <w:pPr>
        <w:pStyle w:val="Normal"/>
        <w:numPr>
          <w:ilvl w:val="0"/>
          <w:numId w:val="6"/>
        </w:numPr>
        <w:jc w:val="both"/>
        <w:rPr>
          <w:sz w:val="22"/>
          <w:szCs w:val="22"/>
        </w:rPr>
      </w:pPr>
      <w:r>
        <w:rPr>
          <w:rFonts w:cs="Calibri"/>
          <w:b w:val="false"/>
          <w:bCs w:val="false"/>
          <w:sz w:val="22"/>
          <w:szCs w:val="22"/>
        </w:rPr>
        <w:t xml:space="preserve">Νερό, εμφιαλωμένο φυσικό μεταλλικό νερό </w:t>
      </w:r>
    </w:p>
    <w:p>
      <w:pPr>
        <w:pStyle w:val="Normal"/>
        <w:numPr>
          <w:ilvl w:val="0"/>
          <w:numId w:val="6"/>
        </w:numPr>
        <w:jc w:val="both"/>
        <w:rPr>
          <w:sz w:val="22"/>
          <w:szCs w:val="22"/>
        </w:rPr>
      </w:pPr>
      <w:r>
        <w:rPr>
          <w:rFonts w:cs="Calibri"/>
          <w:b w:val="false"/>
          <w:bCs w:val="false"/>
          <w:sz w:val="22"/>
          <w:szCs w:val="22"/>
        </w:rPr>
        <w:t>σοκολατούχο γάλα</w:t>
      </w:r>
    </w:p>
    <w:p>
      <w:pPr>
        <w:pStyle w:val="Normal"/>
        <w:jc w:val="center"/>
        <w:rPr>
          <w:rFonts w:ascii="Calibri" w:hAnsi="Calibri" w:cs="Calibri"/>
          <w:b/>
          <w:bCs/>
          <w:sz w:val="22"/>
          <w:szCs w:val="22"/>
        </w:rPr>
      </w:pPr>
      <w:r>
        <w:rPr>
          <w:rFonts w:cs="Calibri"/>
          <w:b/>
          <w:bCs/>
          <w:sz w:val="22"/>
          <w:szCs w:val="22"/>
        </w:rPr>
      </w:r>
    </w:p>
    <w:p>
      <w:pPr>
        <w:pStyle w:val="Normal"/>
        <w:jc w:val="both"/>
        <w:rPr>
          <w:sz w:val="22"/>
          <w:szCs w:val="22"/>
        </w:rPr>
      </w:pPr>
      <w:r>
        <w:rPr>
          <w:rFonts w:cs="Calibri"/>
          <w:b w:val="false"/>
          <w:bCs w:val="false"/>
          <w:sz w:val="22"/>
          <w:szCs w:val="22"/>
        </w:rPr>
        <w:t xml:space="preserve">Κάθε αναψυκτικό ή άλλο υλικό θα πωλείται στην αρχική του συσκευασία παγωμένο, ενώ θα είναι δυνατή και η διάθεση κυπέλλων από τον ανάδοχο. </w:t>
      </w:r>
    </w:p>
    <w:p>
      <w:pPr>
        <w:pStyle w:val="Normal"/>
        <w:jc w:val="both"/>
        <w:rPr>
          <w:sz w:val="22"/>
          <w:szCs w:val="22"/>
        </w:rPr>
      </w:pPr>
      <w:r>
        <w:rPr>
          <w:rFonts w:cs="Calibri"/>
          <w:b w:val="false"/>
          <w:bCs w:val="false"/>
          <w:sz w:val="22"/>
          <w:szCs w:val="22"/>
        </w:rPr>
        <w:t xml:space="preserve">Επίσης: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Συσκευασμένα φρέσκα σάντουιτς διαφόρων τύπων (ψωμί λευκό, ψωμί ολικής αλέσεως, αραβική πίτα κ.ά.)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Κράκερς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Κριτσίνια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Παξιμαδάκια αλμυρά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Βars Δημητριακών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Αρτοσκευάσματα (κρουασάν, τσουρεκάκια)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 xml:space="preserve">Σοκολάτες διάφορες (να συμπεριλαμβάνονται σοκολάτες χωρίς ζάχαρη) </w:t>
      </w:r>
    </w:p>
    <w:p>
      <w:pPr>
        <w:pStyle w:val="Normal"/>
        <w:jc w:val="both"/>
        <w:rPr>
          <w:sz w:val="22"/>
          <w:szCs w:val="22"/>
        </w:rPr>
      </w:pPr>
      <w:r>
        <w:rPr>
          <w:rFonts w:cs="Calibri"/>
          <w:b w:val="false"/>
          <w:bCs w:val="false"/>
          <w:sz w:val="22"/>
          <w:szCs w:val="22"/>
        </w:rPr>
        <w:t xml:space="preserve">• </w:t>
      </w:r>
      <w:r>
        <w:rPr>
          <w:rFonts w:cs="Calibri"/>
          <w:b w:val="false"/>
          <w:bCs w:val="false"/>
          <w:sz w:val="22"/>
          <w:szCs w:val="22"/>
        </w:rPr>
        <w:t>Μπισκότα διάφορα (να συμπεριλαμβάνονται μπισκότα ολικής αλέσεως και μπισκότα χαμηλής περιεκτικότητας σε ζάχαρη)</w:t>
      </w:r>
    </w:p>
    <w:p>
      <w:pPr>
        <w:pStyle w:val="Normal"/>
        <w:jc w:val="both"/>
        <w:rPr>
          <w:sz w:val="22"/>
          <w:szCs w:val="22"/>
        </w:rPr>
      </w:pPr>
      <w:r>
        <w:rPr>
          <w:rFonts w:cs="Calibri"/>
          <w:b w:val="false"/>
          <w:bCs w:val="false"/>
          <w:sz w:val="22"/>
          <w:szCs w:val="22"/>
        </w:rPr>
        <w:t xml:space="preserve">Στα φρέσκα σάντουιτς η ημερομηνία παραγωγής και λήξης του προϊόντος θα πρέπει να είναι τυπωμένη στη συσκευασία και η τοποθέτηση της συσκευασίας να είναι τέτοια ώστε να είναι εμφανή από τη βιτρίνα του αυτόματου πωλητή. Επίσης θα έχει μεγάλο όριο ζωής που θα υπερβαίνει τις τέσσερις (4) ημέρες. </w:t>
      </w:r>
    </w:p>
    <w:p>
      <w:pPr>
        <w:pStyle w:val="Normal"/>
        <w:jc w:val="both"/>
        <w:rPr>
          <w:sz w:val="22"/>
          <w:szCs w:val="22"/>
        </w:rPr>
      </w:pPr>
      <w:r>
        <w:rPr>
          <w:rFonts w:cs="Calibri"/>
          <w:b w:val="false"/>
          <w:bCs w:val="false"/>
          <w:sz w:val="22"/>
          <w:szCs w:val="22"/>
        </w:rPr>
        <w:t xml:space="preserve">Ενώ γίνονται δεκτά και άλλα τυποποιημένα σνακ υγιεινής διατροφής σε ατομικές συσκευασίες. </w:t>
      </w:r>
    </w:p>
    <w:p>
      <w:pPr>
        <w:pStyle w:val="Normal"/>
        <w:jc w:val="both"/>
        <w:rPr>
          <w:rFonts w:ascii="Calibri" w:hAnsi="Calibri" w:cs="Calibri"/>
          <w:b w:val="false"/>
          <w:bCs w:val="false"/>
          <w:sz w:val="22"/>
          <w:szCs w:val="22"/>
        </w:rPr>
      </w:pPr>
      <w:r>
        <w:rPr>
          <w:rFonts w:cs="Calibri"/>
          <w:b w:val="false"/>
          <w:bCs w:val="false"/>
          <w:sz w:val="22"/>
          <w:szCs w:val="22"/>
        </w:rPr>
      </w:r>
    </w:p>
    <w:p>
      <w:pPr>
        <w:pStyle w:val="Normal"/>
        <w:jc w:val="center"/>
        <w:rPr>
          <w:rFonts w:ascii="Calibri" w:hAnsi="Calibri" w:cs="Calibri"/>
          <w:b/>
          <w:bCs/>
          <w:sz w:val="22"/>
          <w:szCs w:val="22"/>
        </w:rPr>
      </w:pPr>
      <w:r>
        <w:rPr>
          <w:rFonts w:cs="Calibri"/>
          <w:b/>
          <w:bCs/>
          <w:sz w:val="22"/>
          <w:szCs w:val="22"/>
        </w:rPr>
      </w:r>
    </w:p>
    <w:p>
      <w:pPr>
        <w:pStyle w:val="Normal"/>
        <w:jc w:val="center"/>
        <w:rPr>
          <w:rFonts w:cs="Calibri" w:cstheme="minorHAnsi"/>
          <w:b/>
          <w:sz w:val="22"/>
          <w:szCs w:val="22"/>
          <w:u w:val="single"/>
        </w:rPr>
      </w:pPr>
      <w:r>
        <w:rPr>
          <w:rFonts w:cs="Calibri" w:cstheme="minorHAnsi"/>
          <w:b/>
          <w:sz w:val="22"/>
          <w:szCs w:val="22"/>
          <w:u w:val="single"/>
        </w:rPr>
      </w:r>
    </w:p>
    <w:p>
      <w:pPr>
        <w:pStyle w:val="Normal"/>
        <w:spacing w:before="0" w:after="0"/>
        <w:ind w:firstLine="720" w:left="3600"/>
        <w:rPr>
          <w:rFonts w:cs="Calibri" w:cstheme="minorHAnsi"/>
          <w:b/>
          <w:sz w:val="22"/>
          <w:szCs w:val="22"/>
          <w:u w:val="single"/>
        </w:rPr>
      </w:pPr>
      <w:r>
        <w:rPr>
          <w:rFonts w:cs="Calibri" w:cstheme="minorHAnsi"/>
          <w:b/>
          <w:sz w:val="22"/>
          <w:szCs w:val="22"/>
          <w:u w:val="single"/>
        </w:rPr>
      </w:r>
    </w:p>
    <w:p>
      <w:pPr>
        <w:pStyle w:val="Normal"/>
        <w:spacing w:before="0" w:after="0"/>
        <w:ind w:firstLine="720" w:left="3600"/>
        <w:rPr>
          <w:rFonts w:cs="Calibri" w:cstheme="minorHAnsi"/>
          <w:b/>
          <w:sz w:val="22"/>
          <w:szCs w:val="22"/>
          <w:u w:val="single"/>
        </w:rPr>
      </w:pPr>
      <w:r>
        <w:rPr>
          <w:rFonts w:cs="Calibri" w:cstheme="minorHAnsi"/>
          <w:b/>
          <w:sz w:val="22"/>
          <w:szCs w:val="22"/>
          <w:u w:val="single"/>
        </w:rPr>
      </w:r>
    </w:p>
    <w:p>
      <w:pPr>
        <w:pStyle w:val="Normal"/>
        <w:spacing w:before="0" w:after="0"/>
        <w:ind w:firstLine="720" w:left="3600"/>
        <w:rPr>
          <w:rFonts w:cs="Calibri" w:cstheme="minorHAnsi"/>
          <w:b/>
          <w:sz w:val="22"/>
          <w:szCs w:val="22"/>
          <w:u w:val="single"/>
        </w:rPr>
      </w:pPr>
      <w:r>
        <w:rPr>
          <w:rFonts w:cs="Calibri" w:cstheme="minorHAnsi"/>
          <w:b/>
          <w:sz w:val="22"/>
          <w:szCs w:val="22"/>
          <w:u w:val="single"/>
        </w:rPr>
      </w:r>
    </w:p>
    <w:p>
      <w:pPr>
        <w:pStyle w:val="Normal"/>
        <w:spacing w:before="0" w:after="0"/>
        <w:ind w:firstLine="720" w:left="3600"/>
        <w:rPr>
          <w:rFonts w:cs="Calibri" w:cstheme="minorHAnsi"/>
          <w:b/>
          <w:sz w:val="22"/>
          <w:szCs w:val="22"/>
          <w:u w:val="single"/>
        </w:rPr>
      </w:pPr>
      <w:r>
        <w:rPr>
          <w:rFonts w:cs="Calibri" w:cstheme="minorHAnsi"/>
          <w:b/>
          <w:sz w:val="22"/>
          <w:szCs w:val="22"/>
          <w:u w:val="single"/>
        </w:rPr>
      </w:r>
    </w:p>
    <w:p>
      <w:pPr>
        <w:pStyle w:val="Normal"/>
        <w:spacing w:before="0" w:after="0"/>
        <w:ind w:firstLine="720" w:left="3600"/>
        <w:rPr>
          <w:rFonts w:cs="Calibri" w:cstheme="minorHAnsi"/>
          <w:b/>
          <w:sz w:val="22"/>
          <w:szCs w:val="22"/>
          <w:u w:val="single"/>
        </w:rPr>
      </w:pPr>
      <w:r>
        <w:rPr>
          <w:rFonts w:cs="Calibri" w:cstheme="minorHAnsi"/>
          <w:b/>
          <w:sz w:val="22"/>
          <w:szCs w:val="22"/>
          <w:u w:val="single"/>
        </w:rPr>
      </w:r>
    </w:p>
    <w:sectPr>
      <w:footerReference w:type="even" r:id="rId5"/>
      <w:footerReference w:type="default" r:id="rId6"/>
      <w:footerReference w:type="first" r:id="rId7"/>
      <w:type w:val="nextPage"/>
      <w:pgSz w:w="11906" w:h="16838"/>
      <w:pgMar w:left="709" w:right="707" w:gutter="0" w:header="0" w:top="1440" w:footer="708"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Cambria">
    <w:charset w:val="a1"/>
    <w:family w:val="roman"/>
    <w:pitch w:val="variable"/>
  </w:font>
  <w:font w:name="Arial">
    <w:charset w:val="a1"/>
    <w:family w:val="roman"/>
    <w:pitch w:val="variable"/>
  </w:font>
  <w:font w:name="SymbolMT">
    <w:charset w:val="a1"/>
    <w:family w:val="roman"/>
    <w:pitch w:val="variable"/>
  </w:font>
  <w:font w:name="Consolas">
    <w:charset w:val="a1"/>
    <w:family w:val="roman"/>
    <w:pitch w:val="variable"/>
  </w:font>
  <w:font w:name="Tahoma">
    <w:charset w:val="a1"/>
    <w:family w:val="roman"/>
    <w:pitch w:val="variable"/>
  </w:font>
  <w:font w:name="Symbol">
    <w:charset w:val="a1"/>
    <w:family w:val="roman"/>
    <w:pitch w:val="variable"/>
  </w:font>
  <w:font w:name="OpenSymbol">
    <w:altName w:val="Arial Unicode MS"/>
    <w:charset w:val="a1"/>
    <w:family w:val="roman"/>
    <w:pitch w:val="variable"/>
  </w:font>
  <w:font w:name="Liberation Sans">
    <w:altName w:val="Arial"/>
    <w:charset w:val="a1"/>
    <w:family w:val="roman"/>
    <w:pitch w:val="variable"/>
  </w:font>
  <w:font w:name="Courier New">
    <w:charset w:val="01"/>
    <w:family w:val="modern"/>
    <w:pitch w:val="fixed"/>
  </w:font>
  <w:font w:name="Wingdings">
    <w:charset w:val="02"/>
    <w:family w:val="auto"/>
    <w:pitch w:val="variable"/>
  </w:font>
  <w:font w:name="Angsana New">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4414920"/>
    </w:sdtPr>
    <w:sdtContent>
      <w:p>
        <w:pPr>
          <w:pStyle w:val="Footer"/>
          <w:jc w:val="center"/>
          <w:rPr/>
        </w:pPr>
        <w:r>
          <w:rPr/>
          <w:fldChar w:fldCharType="begin"/>
        </w:r>
        <w:r>
          <w:rPr/>
          <w:instrText xml:space="preserve"> PAGE </w:instrText>
        </w:r>
        <w:r>
          <w:rPr/>
          <w:fldChar w:fldCharType="separate"/>
        </w:r>
        <w:r>
          <w:rPr/>
          <w:t>17</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64414920"/>
    </w:sdtPr>
    <w:sdtContent>
      <w:p>
        <w:pPr>
          <w:pStyle w:val="Footer"/>
          <w:jc w:val="center"/>
          <w:rPr/>
        </w:pPr>
        <w:r>
          <w:rPr/>
          <w:fldChar w:fldCharType="begin"/>
        </w:r>
        <w:r>
          <w:rPr/>
          <w:instrText xml:space="preserve"> PAGE </w:instrText>
        </w:r>
        <w:r>
          <w:rPr/>
          <w:fldChar w:fldCharType="separate"/>
        </w:r>
        <w:r>
          <w:rPr/>
          <w:t>17</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54" w:hanging="360"/>
      </w:pPr>
      <w:rPr>
        <w:rFonts w:ascii="Symbol" w:hAnsi="Symbol" w:cs="Symbol" w:hint="default"/>
      </w:rPr>
    </w:lvl>
    <w:lvl w:ilvl="1">
      <w:start w:val="1"/>
      <w:numFmt w:val="bullet"/>
      <w:lvlText w:val="o"/>
      <w:lvlJc w:val="left"/>
      <w:pPr>
        <w:tabs>
          <w:tab w:val="num" w:pos="0"/>
        </w:tabs>
        <w:ind w:left="1474" w:hanging="360"/>
      </w:pPr>
      <w:rPr>
        <w:rFonts w:ascii="Courier New" w:hAnsi="Courier New" w:cs="Courier New" w:hint="default"/>
      </w:rPr>
    </w:lvl>
    <w:lvl w:ilvl="2">
      <w:start w:val="1"/>
      <w:numFmt w:val="bullet"/>
      <w:lvlText w:val=""/>
      <w:lvlJc w:val="left"/>
      <w:pPr>
        <w:tabs>
          <w:tab w:val="num" w:pos="0"/>
        </w:tabs>
        <w:ind w:left="2194" w:hanging="360"/>
      </w:pPr>
      <w:rPr>
        <w:rFonts w:ascii="Wingdings" w:hAnsi="Wingdings" w:cs="Wingdings" w:hint="default"/>
      </w:rPr>
    </w:lvl>
    <w:lvl w:ilvl="3">
      <w:start w:val="1"/>
      <w:numFmt w:val="bullet"/>
      <w:lvlText w:val=""/>
      <w:lvlJc w:val="left"/>
      <w:pPr>
        <w:tabs>
          <w:tab w:val="num" w:pos="0"/>
        </w:tabs>
        <w:ind w:left="2914" w:hanging="360"/>
      </w:pPr>
      <w:rPr>
        <w:rFonts w:ascii="Symbol" w:hAnsi="Symbol" w:cs="Symbol" w:hint="default"/>
      </w:rPr>
    </w:lvl>
    <w:lvl w:ilvl="4">
      <w:start w:val="1"/>
      <w:numFmt w:val="bullet"/>
      <w:lvlText w:val="o"/>
      <w:lvlJc w:val="left"/>
      <w:pPr>
        <w:tabs>
          <w:tab w:val="num" w:pos="0"/>
        </w:tabs>
        <w:ind w:left="3634" w:hanging="360"/>
      </w:pPr>
      <w:rPr>
        <w:rFonts w:ascii="Courier New" w:hAnsi="Courier New" w:cs="Courier New" w:hint="default"/>
      </w:rPr>
    </w:lvl>
    <w:lvl w:ilvl="5">
      <w:start w:val="1"/>
      <w:numFmt w:val="bullet"/>
      <w:lvlText w:val=""/>
      <w:lvlJc w:val="left"/>
      <w:pPr>
        <w:tabs>
          <w:tab w:val="num" w:pos="0"/>
        </w:tabs>
        <w:ind w:left="4354" w:hanging="360"/>
      </w:pPr>
      <w:rPr>
        <w:rFonts w:ascii="Wingdings" w:hAnsi="Wingdings" w:cs="Wingdings" w:hint="default"/>
      </w:rPr>
    </w:lvl>
    <w:lvl w:ilvl="6">
      <w:start w:val="1"/>
      <w:numFmt w:val="bullet"/>
      <w:lvlText w:val=""/>
      <w:lvlJc w:val="left"/>
      <w:pPr>
        <w:tabs>
          <w:tab w:val="num" w:pos="0"/>
        </w:tabs>
        <w:ind w:left="5074" w:hanging="360"/>
      </w:pPr>
      <w:rPr>
        <w:rFonts w:ascii="Symbol" w:hAnsi="Symbol" w:cs="Symbol" w:hint="default"/>
      </w:rPr>
    </w:lvl>
    <w:lvl w:ilvl="7">
      <w:start w:val="1"/>
      <w:numFmt w:val="bullet"/>
      <w:lvlText w:val="o"/>
      <w:lvlJc w:val="left"/>
      <w:pPr>
        <w:tabs>
          <w:tab w:val="num" w:pos="0"/>
        </w:tabs>
        <w:ind w:left="5794" w:hanging="360"/>
      </w:pPr>
      <w:rPr>
        <w:rFonts w:ascii="Courier New" w:hAnsi="Courier New" w:cs="Courier New" w:hint="default"/>
      </w:rPr>
    </w:lvl>
    <w:lvl w:ilvl="8">
      <w:start w:val="1"/>
      <w:numFmt w:val="bullet"/>
      <w:lvlText w:val=""/>
      <w:lvlJc w:val="left"/>
      <w:pPr>
        <w:tabs>
          <w:tab w:val="num" w:pos="0"/>
        </w:tabs>
        <w:ind w:left="6514"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bullet"/>
      <w:lvlText w:val="-"/>
      <w:lvlJc w:val="left"/>
      <w:pPr>
        <w:tabs>
          <w:tab w:val="num" w:pos="0"/>
        </w:tabs>
        <w:ind w:left="720" w:hanging="360"/>
      </w:pPr>
      <w:rPr>
        <w:rFonts w:ascii="Angsana New" w:hAnsi="Angsana New" w:cs="Angsana New"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lvl w:ilvl="0">
      <w:start w:val="1"/>
      <w:numFmt w:val="bullet"/>
      <w:lvlText w:val=""/>
      <w:lvlJc w:val="left"/>
      <w:pPr>
        <w:tabs>
          <w:tab w:val="num" w:pos="774"/>
        </w:tabs>
        <w:ind w:left="774" w:hanging="360"/>
      </w:pPr>
      <w:rPr>
        <w:rFonts w:ascii="Symbol" w:hAnsi="Symbol" w:cs="Symbol" w:hint="default"/>
      </w:rPr>
    </w:lvl>
    <w:lvl w:ilvl="1">
      <w:start w:val="1"/>
      <w:numFmt w:val="bullet"/>
      <w:lvlText w:val="◦"/>
      <w:lvlJc w:val="left"/>
      <w:pPr>
        <w:tabs>
          <w:tab w:val="num" w:pos="1134"/>
        </w:tabs>
        <w:ind w:left="1134" w:hanging="360"/>
      </w:pPr>
      <w:rPr>
        <w:rFonts w:ascii="OpenSymbol" w:hAnsi="OpenSymbol" w:cs="OpenSymbol" w:hint="default"/>
      </w:rPr>
    </w:lvl>
    <w:lvl w:ilvl="2">
      <w:start w:val="1"/>
      <w:numFmt w:val="bullet"/>
      <w:lvlText w:val="▪"/>
      <w:lvlJc w:val="left"/>
      <w:pPr>
        <w:tabs>
          <w:tab w:val="num" w:pos="1494"/>
        </w:tabs>
        <w:ind w:left="1494" w:hanging="360"/>
      </w:pPr>
      <w:rPr>
        <w:rFonts w:ascii="OpenSymbol" w:hAnsi="OpenSymbol" w:cs="OpenSymbol" w:hint="default"/>
      </w:rPr>
    </w:lvl>
    <w:lvl w:ilvl="3">
      <w:start w:val="1"/>
      <w:numFmt w:val="bullet"/>
      <w:lvlText w:val=""/>
      <w:lvlJc w:val="left"/>
      <w:pPr>
        <w:tabs>
          <w:tab w:val="num" w:pos="1854"/>
        </w:tabs>
        <w:ind w:left="1854" w:hanging="360"/>
      </w:pPr>
      <w:rPr>
        <w:rFonts w:ascii="Symbol" w:hAnsi="Symbol" w:cs="Symbol" w:hint="default"/>
      </w:rPr>
    </w:lvl>
    <w:lvl w:ilvl="4">
      <w:start w:val="1"/>
      <w:numFmt w:val="bullet"/>
      <w:lvlText w:val="◦"/>
      <w:lvlJc w:val="left"/>
      <w:pPr>
        <w:tabs>
          <w:tab w:val="num" w:pos="2214"/>
        </w:tabs>
        <w:ind w:left="2214" w:hanging="360"/>
      </w:pPr>
      <w:rPr>
        <w:rFonts w:ascii="OpenSymbol" w:hAnsi="OpenSymbol" w:cs="OpenSymbol" w:hint="default"/>
      </w:rPr>
    </w:lvl>
    <w:lvl w:ilvl="5">
      <w:start w:val="1"/>
      <w:numFmt w:val="bullet"/>
      <w:lvlText w:val="▪"/>
      <w:lvlJc w:val="left"/>
      <w:pPr>
        <w:tabs>
          <w:tab w:val="num" w:pos="2574"/>
        </w:tabs>
        <w:ind w:left="2574" w:hanging="360"/>
      </w:pPr>
      <w:rPr>
        <w:rFonts w:ascii="OpenSymbol" w:hAnsi="OpenSymbol" w:cs="OpenSymbol" w:hint="default"/>
      </w:rPr>
    </w:lvl>
    <w:lvl w:ilvl="6">
      <w:start w:val="1"/>
      <w:numFmt w:val="bullet"/>
      <w:lvlText w:val=""/>
      <w:lvlJc w:val="left"/>
      <w:pPr>
        <w:tabs>
          <w:tab w:val="num" w:pos="2934"/>
        </w:tabs>
        <w:ind w:left="2934" w:hanging="360"/>
      </w:pPr>
      <w:rPr>
        <w:rFonts w:ascii="Symbol" w:hAnsi="Symbol" w:cs="Symbol" w:hint="default"/>
      </w:rPr>
    </w:lvl>
    <w:lvl w:ilvl="7">
      <w:start w:val="1"/>
      <w:numFmt w:val="bullet"/>
      <w:lvlText w:val="◦"/>
      <w:lvlJc w:val="left"/>
      <w:pPr>
        <w:tabs>
          <w:tab w:val="num" w:pos="3294"/>
        </w:tabs>
        <w:ind w:left="3294" w:hanging="360"/>
      </w:pPr>
      <w:rPr>
        <w:rFonts w:ascii="OpenSymbol" w:hAnsi="OpenSymbol" w:cs="OpenSymbol" w:hint="default"/>
      </w:rPr>
    </w:lvl>
    <w:lvl w:ilvl="8">
      <w:start w:val="1"/>
      <w:numFmt w:val="bullet"/>
      <w:lvlText w:val="▪"/>
      <w:lvlJc w:val="left"/>
      <w:pPr>
        <w:tabs>
          <w:tab w:val="num" w:pos="3654"/>
        </w:tabs>
        <w:ind w:left="3654" w:hanging="360"/>
      </w:pPr>
      <w:rPr>
        <w:rFonts w:ascii="OpenSymbol" w:hAnsi="OpenSymbol" w:cs="OpenSymbol" w:hint="default"/>
      </w:rPr>
    </w:lvl>
  </w:abstractNum>
  <w:abstractNum w:abstractNumId="6">
    <w:lvl w:ilvl="0">
      <w:start w:val="1"/>
      <w:numFmt w:val="bullet"/>
      <w:lvlText w:val=""/>
      <w:lvlJc w:val="left"/>
      <w:pPr>
        <w:tabs>
          <w:tab w:val="num" w:pos="808"/>
        </w:tabs>
        <w:ind w:left="808" w:hanging="360"/>
      </w:pPr>
      <w:rPr>
        <w:rFonts w:ascii="Symbol" w:hAnsi="Symbol" w:cs="Symbol" w:hint="default"/>
      </w:rPr>
    </w:lvl>
    <w:lvl w:ilvl="1">
      <w:start w:val="1"/>
      <w:numFmt w:val="bullet"/>
      <w:lvlText w:val="◦"/>
      <w:lvlJc w:val="left"/>
      <w:pPr>
        <w:tabs>
          <w:tab w:val="num" w:pos="1168"/>
        </w:tabs>
        <w:ind w:left="1168" w:hanging="360"/>
      </w:pPr>
      <w:rPr>
        <w:rFonts w:ascii="OpenSymbol" w:hAnsi="OpenSymbol" w:cs="OpenSymbol" w:hint="default"/>
      </w:rPr>
    </w:lvl>
    <w:lvl w:ilvl="2">
      <w:start w:val="1"/>
      <w:numFmt w:val="bullet"/>
      <w:lvlText w:val="▪"/>
      <w:lvlJc w:val="left"/>
      <w:pPr>
        <w:tabs>
          <w:tab w:val="num" w:pos="1528"/>
        </w:tabs>
        <w:ind w:left="1528" w:hanging="360"/>
      </w:pPr>
      <w:rPr>
        <w:rFonts w:ascii="OpenSymbol" w:hAnsi="OpenSymbol" w:cs="OpenSymbol" w:hint="default"/>
      </w:rPr>
    </w:lvl>
    <w:lvl w:ilvl="3">
      <w:start w:val="1"/>
      <w:numFmt w:val="bullet"/>
      <w:lvlText w:val=""/>
      <w:lvlJc w:val="left"/>
      <w:pPr>
        <w:tabs>
          <w:tab w:val="num" w:pos="1888"/>
        </w:tabs>
        <w:ind w:left="1888" w:hanging="360"/>
      </w:pPr>
      <w:rPr>
        <w:rFonts w:ascii="Symbol" w:hAnsi="Symbol" w:cs="Symbol" w:hint="default"/>
      </w:rPr>
    </w:lvl>
    <w:lvl w:ilvl="4">
      <w:start w:val="1"/>
      <w:numFmt w:val="bullet"/>
      <w:lvlText w:val="◦"/>
      <w:lvlJc w:val="left"/>
      <w:pPr>
        <w:tabs>
          <w:tab w:val="num" w:pos="2248"/>
        </w:tabs>
        <w:ind w:left="2248" w:hanging="360"/>
      </w:pPr>
      <w:rPr>
        <w:rFonts w:ascii="OpenSymbol" w:hAnsi="OpenSymbol" w:cs="OpenSymbol" w:hint="default"/>
      </w:rPr>
    </w:lvl>
    <w:lvl w:ilvl="5">
      <w:start w:val="1"/>
      <w:numFmt w:val="bullet"/>
      <w:lvlText w:val="▪"/>
      <w:lvlJc w:val="left"/>
      <w:pPr>
        <w:tabs>
          <w:tab w:val="num" w:pos="2608"/>
        </w:tabs>
        <w:ind w:left="2608" w:hanging="360"/>
      </w:pPr>
      <w:rPr>
        <w:rFonts w:ascii="OpenSymbol" w:hAnsi="OpenSymbol" w:cs="OpenSymbol" w:hint="default"/>
      </w:rPr>
    </w:lvl>
    <w:lvl w:ilvl="6">
      <w:start w:val="1"/>
      <w:numFmt w:val="bullet"/>
      <w:lvlText w:val=""/>
      <w:lvlJc w:val="left"/>
      <w:pPr>
        <w:tabs>
          <w:tab w:val="num" w:pos="2968"/>
        </w:tabs>
        <w:ind w:left="2968" w:hanging="360"/>
      </w:pPr>
      <w:rPr>
        <w:rFonts w:ascii="Symbol" w:hAnsi="Symbol" w:cs="Symbol" w:hint="default"/>
      </w:rPr>
    </w:lvl>
    <w:lvl w:ilvl="7">
      <w:start w:val="1"/>
      <w:numFmt w:val="bullet"/>
      <w:lvlText w:val="◦"/>
      <w:lvlJc w:val="left"/>
      <w:pPr>
        <w:tabs>
          <w:tab w:val="num" w:pos="3328"/>
        </w:tabs>
        <w:ind w:left="3328" w:hanging="360"/>
      </w:pPr>
      <w:rPr>
        <w:rFonts w:ascii="OpenSymbol" w:hAnsi="OpenSymbol" w:cs="OpenSymbol" w:hint="default"/>
      </w:rPr>
    </w:lvl>
    <w:lvl w:ilvl="8">
      <w:start w:val="1"/>
      <w:numFmt w:val="bullet"/>
      <w:lvlText w:val="▪"/>
      <w:lvlJc w:val="left"/>
      <w:pPr>
        <w:tabs>
          <w:tab w:val="num" w:pos="3688"/>
        </w:tabs>
        <w:ind w:left="3688" w:hanging="360"/>
      </w:pPr>
      <w:rPr>
        <w:rFonts w:ascii="OpenSymbol" w:hAnsi="OpenSymbol" w:cs="Open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b770b"/>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paragraph" w:styleId="Heading1">
    <w:name w:val="Heading 1"/>
    <w:basedOn w:val="Normal"/>
    <w:next w:val="Normal"/>
    <w:link w:val="1Char"/>
    <w:uiPriority w:val="9"/>
    <w:qFormat/>
    <w:rsid w:val="007b770b"/>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paragraph" w:styleId="Heading3">
    <w:name w:val="Heading 3"/>
    <w:basedOn w:val="Normal"/>
    <w:next w:val="Normal"/>
    <w:link w:val="3Char"/>
    <w:qFormat/>
    <w:rsid w:val="007b770b"/>
    <w:pPr>
      <w:keepNext w:val="true"/>
      <w:spacing w:lineRule="auto" w:line="240" w:before="240" w:after="60"/>
      <w:ind w:hanging="567" w:left="567"/>
      <w:jc w:val="both"/>
      <w:outlineLvl w:val="2"/>
    </w:pPr>
    <w:rPr>
      <w:rFonts w:ascii="Arial" w:hAnsi="Arial" w:eastAsia="Times New Roman" w:cs="Times New Roman"/>
      <w:b/>
      <w:bCs/>
      <w:szCs w:val="26"/>
      <w:lang w:val="en-GB" w:eastAsia="zh-CN"/>
    </w:rPr>
  </w:style>
  <w:style w:type="character" w:styleId="DefaultParagraphFont" w:default="1">
    <w:name w:val="Default Paragraph Font"/>
    <w:uiPriority w:val="1"/>
    <w:semiHidden/>
    <w:unhideWhenUsed/>
    <w:qFormat/>
    <w:rPr/>
  </w:style>
  <w:style w:type="character" w:styleId="1Char" w:customStyle="1">
    <w:name w:val="Επικεφαλίδα 1 Char"/>
    <w:basedOn w:val="DefaultParagraphFont"/>
    <w:uiPriority w:val="9"/>
    <w:qFormat/>
    <w:rsid w:val="007b770b"/>
    <w:rPr>
      <w:rFonts w:ascii="Cambria" w:hAnsi="Cambria" w:eastAsia="" w:cs="" w:asciiTheme="majorHAnsi" w:cstheme="majorBidi" w:eastAsiaTheme="majorEastAsia" w:hAnsiTheme="majorHAnsi"/>
      <w:b/>
      <w:bCs/>
      <w:color w:themeColor="accent1" w:themeShade="bf" w:val="365F91"/>
      <w:sz w:val="28"/>
      <w:szCs w:val="28"/>
    </w:rPr>
  </w:style>
  <w:style w:type="character" w:styleId="3Char" w:customStyle="1">
    <w:name w:val="Επικεφαλίδα 3 Char"/>
    <w:basedOn w:val="DefaultParagraphFont"/>
    <w:qFormat/>
    <w:rsid w:val="007b770b"/>
    <w:rPr>
      <w:rFonts w:ascii="Arial" w:hAnsi="Arial" w:eastAsia="Times New Roman" w:cs="Times New Roman"/>
      <w:b/>
      <w:bCs/>
      <w:szCs w:val="26"/>
      <w:lang w:val="en-GB" w:eastAsia="zh-CN"/>
    </w:rPr>
  </w:style>
  <w:style w:type="character" w:styleId="fontstyle01" w:customStyle="1">
    <w:name w:val="fontstyle01"/>
    <w:basedOn w:val="DefaultParagraphFont"/>
    <w:qFormat/>
    <w:rsid w:val="007b770b"/>
    <w:rPr>
      <w:rFonts w:ascii="Calibri" w:hAnsi="Calibri" w:cs="Calibri"/>
      <w:b w:val="false"/>
      <w:bCs w:val="false"/>
      <w:i w:val="false"/>
      <w:iCs w:val="false"/>
      <w:color w:val="000000"/>
      <w:sz w:val="20"/>
      <w:szCs w:val="20"/>
    </w:rPr>
  </w:style>
  <w:style w:type="character" w:styleId="fontstyle21" w:customStyle="1">
    <w:name w:val="fontstyle21"/>
    <w:basedOn w:val="DefaultParagraphFont"/>
    <w:qFormat/>
    <w:rsid w:val="007b770b"/>
    <w:rPr>
      <w:rFonts w:ascii="SymbolMT" w:hAnsi="SymbolMT" w:eastAsia="SymbolMT"/>
      <w:b w:val="false"/>
      <w:bCs w:val="false"/>
      <w:i w:val="false"/>
      <w:iCs w:val="false"/>
      <w:color w:val="000000"/>
      <w:sz w:val="20"/>
      <w:szCs w:val="20"/>
    </w:rPr>
  </w:style>
  <w:style w:type="character" w:styleId="WW8Num1z0" w:customStyle="1">
    <w:name w:val="WW8Num1z0"/>
    <w:qFormat/>
    <w:rsid w:val="007b770b"/>
    <w:rPr/>
  </w:style>
  <w:style w:type="character" w:styleId="Char" w:customStyle="1">
    <w:name w:val="Σώμα κειμένου Char"/>
    <w:basedOn w:val="DefaultParagraphFont"/>
    <w:qFormat/>
    <w:rsid w:val="007b770b"/>
    <w:rPr>
      <w:rFonts w:ascii="Calibri" w:hAnsi="Calibri" w:eastAsia="Times New Roman" w:cs="Times New Roman"/>
      <w:szCs w:val="24"/>
      <w:lang w:val="en-GB" w:eastAsia="zh-CN"/>
    </w:rPr>
  </w:style>
  <w:style w:type="character" w:styleId="Char1" w:customStyle="1">
    <w:name w:val="Υποσέλιδο Char"/>
    <w:basedOn w:val="DefaultParagraphFont"/>
    <w:uiPriority w:val="99"/>
    <w:qFormat/>
    <w:rsid w:val="007b770b"/>
    <w:rPr/>
  </w:style>
  <w:style w:type="character" w:styleId="Char2" w:customStyle="1">
    <w:name w:val="Απλό κείμενο Char"/>
    <w:basedOn w:val="DefaultParagraphFont"/>
    <w:link w:val="PlainText"/>
    <w:uiPriority w:val="99"/>
    <w:qFormat/>
    <w:rsid w:val="007b770b"/>
    <w:rPr/>
  </w:style>
  <w:style w:type="character" w:styleId="Style12" w:customStyle="1">
    <w:name w:val="Σώμα κειμένου_"/>
    <w:basedOn w:val="DefaultParagraphFont"/>
    <w:link w:val="21"/>
    <w:qFormat/>
    <w:rsid w:val="007b770b"/>
    <w:rPr>
      <w:rFonts w:ascii="Arial" w:hAnsi="Arial" w:eastAsia="Arial" w:cs="Arial"/>
      <w:sz w:val="21"/>
      <w:szCs w:val="21"/>
      <w:shd w:fill="FFFFFF" w:val="clear"/>
    </w:rPr>
  </w:style>
  <w:style w:type="character" w:styleId="1" w:customStyle="1">
    <w:name w:val="Σώμα κειμένου1"/>
    <w:basedOn w:val="Style12"/>
    <w:qFormat/>
    <w:rsid w:val="007b770b"/>
    <w:rPr>
      <w:rFonts w:ascii="Arial" w:hAnsi="Arial" w:eastAsia="Arial" w:cs="Arial"/>
      <w:color w:val="000000"/>
      <w:spacing w:val="0"/>
      <w:w w:val="100"/>
      <w:sz w:val="21"/>
      <w:szCs w:val="21"/>
      <w:u w:val="single"/>
      <w:shd w:fill="FFFFFF" w:val="clear"/>
      <w:lang w:val="el-GR"/>
    </w:rPr>
  </w:style>
  <w:style w:type="character" w:styleId="Char11" w:customStyle="1">
    <w:name w:val="Κείμενο πλαισίου Char1"/>
    <w:basedOn w:val="DefaultParagraphFont"/>
    <w:link w:val="BalloonText"/>
    <w:uiPriority w:val="99"/>
    <w:qFormat/>
    <w:rsid w:val="007b770b"/>
    <w:rPr>
      <w:rFonts w:ascii="Consolas" w:hAnsi="Consolas" w:eastAsia="Times New Roman" w:cs="Times New Roman"/>
      <w:sz w:val="21"/>
      <w:szCs w:val="21"/>
      <w:lang w:eastAsia="el-GR"/>
    </w:rPr>
  </w:style>
  <w:style w:type="character" w:styleId="Char3" w:customStyle="1">
    <w:name w:val="Κείμενο πλαισίου Char"/>
    <w:basedOn w:val="DefaultParagraphFont"/>
    <w:uiPriority w:val="99"/>
    <w:semiHidden/>
    <w:qFormat/>
    <w:rsid w:val="007b770b"/>
    <w:rPr>
      <w:rFonts w:ascii="Tahoma" w:hAnsi="Tahoma" w:cs="Tahoma"/>
      <w:sz w:val="16"/>
      <w:szCs w:val="16"/>
    </w:rPr>
  </w:style>
  <w:style w:type="character" w:styleId="st" w:customStyle="1">
    <w:name w:val="st"/>
    <w:basedOn w:val="DefaultParagraphFont"/>
    <w:qFormat/>
    <w:rsid w:val="0079464a"/>
    <w:rPr/>
  </w:style>
  <w:style w:type="character" w:styleId="Style13" w:customStyle="1">
    <w:name w:val="Σύμβολο υποσημείωσης"/>
    <w:qFormat/>
    <w:rsid w:val="00af15ef"/>
    <w:rPr>
      <w:vertAlign w:val="superscript"/>
    </w:rPr>
  </w:style>
  <w:style w:type="character" w:styleId="WW-FootnoteReference9" w:customStyle="1">
    <w:name w:val="WW-Footnote Reference9"/>
    <w:qFormat/>
    <w:rsid w:val="00a76dd0"/>
    <w:rPr>
      <w:vertAlign w:val="superscript"/>
    </w:rPr>
  </w:style>
  <w:style w:type="character" w:styleId="WW-FootnoteReference12" w:customStyle="1">
    <w:name w:val="WW-Footnote Reference12"/>
    <w:qFormat/>
    <w:rsid w:val="007b262a"/>
    <w:rPr>
      <w:vertAlign w:val="superscript"/>
    </w:rPr>
  </w:style>
  <w:style w:type="character" w:styleId="WW-FootnoteReference17" w:customStyle="1">
    <w:name w:val="WW-Footnote Reference17"/>
    <w:qFormat/>
    <w:rsid w:val="007b262a"/>
    <w:rPr>
      <w:vertAlign w:val="superscript"/>
    </w:rPr>
  </w:style>
  <w:style w:type="character" w:styleId="InternetLink" w:customStyle="1">
    <w:name w:val="Internet Link"/>
    <w:qFormat/>
    <w:rPr>
      <w:color w:val="000080"/>
      <w:u w:val="single"/>
    </w:rPr>
  </w:style>
  <w:style w:type="character" w:styleId="WW8Num3z0" w:customStyle="1">
    <w:name w:val="WW8Num3z0"/>
    <w:qFormat/>
    <w:rPr>
      <w:rFonts w:ascii="Symbol" w:hAnsi="Symbol" w:cs="OpenSymbol;Arial Unicode MS"/>
    </w:rPr>
  </w:style>
  <w:style w:type="character" w:styleId="WW8Num3z1" w:customStyle="1">
    <w:name w:val="WW8Num3z1"/>
    <w:qFormat/>
    <w:rPr>
      <w:rFonts w:ascii="OpenSymbol;Arial Unicode MS" w:hAnsi="OpenSymbol;Arial Unicode MS" w:cs="OpenSymbol;Arial Unicode MS"/>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rFonts w:ascii="Arial" w:hAnsi="Arial" w:cs="Arial"/>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Style14" w:customStyle="1">
    <w:name w:val="Κουκκίδες"/>
    <w:qFormat/>
    <w:rPr>
      <w:rFonts w:ascii="OpenSymbol" w:hAnsi="OpenSymbol" w:eastAsia="OpenSymbol" w:cs="OpenSymbol"/>
    </w:rPr>
  </w:style>
  <w:style w:type="character" w:styleId="Style15" w:customStyle="1">
    <w:name w:val="Χαρακτήρες αρίθμησης"/>
    <w:qFormat/>
    <w:rPr/>
  </w:style>
  <w:style w:type="character" w:styleId="Emphasis">
    <w:name w:val="Emphasis"/>
    <w:basedOn w:val="DefaultParagraphFont"/>
    <w:qFormat/>
    <w:rPr>
      <w:i/>
      <w:iCs/>
    </w:rPr>
  </w:style>
  <w:style w:type="character" w:styleId="Heading11" w:customStyle="1">
    <w:name w:val="Heading #1_"/>
    <w:basedOn w:val="DefaultParagraphFont"/>
    <w:qFormat/>
    <w:rPr>
      <w:rFonts w:ascii="Arial" w:hAnsi="Arial" w:cs="Arial"/>
      <w:b w:val="false"/>
      <w:i w:val="false"/>
      <w:caps w:val="false"/>
      <w:smallCaps w:val="false"/>
      <w:strike w:val="false"/>
      <w:dstrike w:val="false"/>
      <w:sz w:val="15"/>
      <w:u w:val="none"/>
    </w:rPr>
  </w:style>
  <w:style w:type="character" w:styleId="Heading12" w:customStyle="1">
    <w:name w:val="Heading #1"/>
    <w:basedOn w:val="Heading11"/>
    <w:qFormat/>
    <w:rPr>
      <w:rFonts w:ascii="Arial" w:hAnsi="Arial" w:cs="Arial"/>
      <w:b w:val="false"/>
      <w:i w:val="false"/>
      <w:caps w:val="false"/>
      <w:smallCaps w:val="false"/>
      <w:strike w:val="false"/>
      <w:dstrike w:val="false"/>
      <w:sz w:val="15"/>
      <w:u w:val="none"/>
    </w:rPr>
  </w:style>
  <w:style w:type="character" w:styleId="Bodytext" w:customStyle="1">
    <w:name w:val="Body text_"/>
    <w:basedOn w:val="DefaultParagraphFont"/>
    <w:qFormat/>
    <w:rPr>
      <w:rFonts w:ascii="Arial" w:hAnsi="Arial" w:cs="Arial"/>
      <w:b w:val="false"/>
      <w:i w:val="false"/>
      <w:caps w:val="false"/>
      <w:smallCaps w:val="false"/>
      <w:strike w:val="false"/>
      <w:dstrike w:val="false"/>
      <w:sz w:val="15"/>
      <w:u w:val="none"/>
    </w:rPr>
  </w:style>
  <w:style w:type="character" w:styleId="2" w:customStyle="1">
    <w:name w:val="Σώμα κειμένου2"/>
    <w:basedOn w:val="Bodytext"/>
    <w:qFormat/>
    <w:rPr>
      <w:rFonts w:ascii="Arial" w:hAnsi="Arial" w:cs="Arial"/>
      <w:b w:val="false"/>
      <w:i w:val="false"/>
      <w:caps w:val="false"/>
      <w:smallCaps w:val="false"/>
      <w:strike w:val="false"/>
      <w:dstrike w:val="false"/>
      <w:sz w:val="15"/>
      <w:u w:val="none"/>
    </w:rPr>
  </w:style>
  <w:style w:type="character" w:styleId="Bodytext2" w:customStyle="1">
    <w:name w:val="Body text (2)_"/>
    <w:basedOn w:val="DefaultParagraphFont"/>
    <w:qFormat/>
    <w:rPr>
      <w:rFonts w:ascii="Arial" w:hAnsi="Arial" w:cs="Arial"/>
      <w:b w:val="false"/>
      <w:i/>
      <w:caps w:val="false"/>
      <w:smallCaps w:val="false"/>
      <w:strike w:val="false"/>
      <w:dstrike w:val="false"/>
      <w:sz w:val="15"/>
      <w:u w:val="none"/>
    </w:rPr>
  </w:style>
  <w:style w:type="character" w:styleId="Bodytext21" w:customStyle="1">
    <w:name w:val="Body text (2)"/>
    <w:basedOn w:val="Bodytext2"/>
    <w:qFormat/>
    <w:rPr>
      <w:rFonts w:ascii="Arial" w:hAnsi="Arial" w:cs="Arial"/>
      <w:b w:val="false"/>
      <w:i/>
      <w:caps w:val="false"/>
      <w:smallCaps w:val="false"/>
      <w:strike w:val="false"/>
      <w:dstrike w:val="false"/>
      <w:sz w:val="15"/>
      <w:u w:val="single"/>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16" w:customStyle="1">
    <w:name w:val="Επικεφαλίδα"/>
    <w:basedOn w:val="Normal"/>
    <w:next w:val="BodyText1"/>
    <w:qFormat/>
    <w:pPr>
      <w:keepNext w:val="true"/>
      <w:spacing w:before="240" w:after="120"/>
    </w:pPr>
    <w:rPr>
      <w:rFonts w:ascii="Liberation Sans" w:hAnsi="Liberation Sans" w:eastAsia="Microsoft YaHei" w:cs="Lucida Sans"/>
      <w:sz w:val="28"/>
      <w:szCs w:val="28"/>
    </w:rPr>
  </w:style>
  <w:style w:type="paragraph" w:styleId="BodyText1">
    <w:name w:val="Body Text"/>
    <w:basedOn w:val="Normal"/>
    <w:link w:val="Char"/>
    <w:qFormat/>
    <w:pPr>
      <w:shd w:val="clear" w:color="auto" w:fill="FFFFFF"/>
      <w:spacing w:lineRule="exact" w:line="312" w:before="0" w:after="240"/>
      <w:ind w:hanging="360"/>
    </w:pPr>
    <w:rPr>
      <w:rFonts w:ascii="Arial" w:hAnsi="Arial" w:cs="Arial"/>
      <w:sz w:val="15"/>
    </w:rPr>
  </w:style>
  <w:style w:type="paragraph" w:styleId="List">
    <w:name w:val="List"/>
    <w:basedOn w:val="BodyText1"/>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7" w:customStyle="1">
    <w:name w:val="Ευρετήριο"/>
    <w:basedOn w:val="Normal"/>
    <w:qFormat/>
    <w:pPr>
      <w:suppressLineNumbers/>
    </w:pPr>
    <w:rPr>
      <w:rFonts w:cs="Lucida Sans"/>
    </w:rPr>
  </w:style>
  <w:style w:type="paragraph" w:styleId="Default" w:customStyle="1">
    <w:name w:val="Default"/>
    <w:qFormat/>
    <w:rsid w:val="007b770b"/>
    <w:pPr>
      <w:widowControl/>
      <w:suppressAutoHyphens w:val="true"/>
      <w:bidi w:val="0"/>
      <w:spacing w:before="0" w:after="0"/>
      <w:jc w:val="left"/>
    </w:pPr>
    <w:rPr>
      <w:rFonts w:ascii="Calibri" w:hAnsi="Calibri" w:eastAsia="Calibri" w:cs="Calibri"/>
      <w:color w:val="000000"/>
      <w:kern w:val="0"/>
      <w:sz w:val="24"/>
      <w:szCs w:val="24"/>
      <w:lang w:val="el-GR" w:eastAsia="en-US" w:bidi="ar-SA"/>
    </w:rPr>
  </w:style>
  <w:style w:type="paragraph" w:styleId="ListParagraph">
    <w:name w:val="List Paragraph"/>
    <w:basedOn w:val="Normal"/>
    <w:uiPriority w:val="34"/>
    <w:qFormat/>
    <w:pPr>
      <w:spacing w:before="0" w:after="0"/>
      <w:ind w:left="720"/>
      <w:contextualSpacing/>
    </w:pPr>
    <w:rPr>
      <w:rFonts w:cs="Mangal;Liberation Mono"/>
      <w:szCs w:val="21"/>
    </w:rPr>
  </w:style>
  <w:style w:type="paragraph" w:styleId="Style18" w:customStyle="1">
    <w:name w:val="Κεφαλίδα και υποσέλιδο"/>
    <w:basedOn w:val="Normal"/>
    <w:qFormat/>
    <w:pPr/>
    <w:rPr/>
  </w:style>
  <w:style w:type="paragraph" w:styleId="HeaderandFooter">
    <w:name w:val="Header and Footer"/>
    <w:basedOn w:val="Normal"/>
    <w:qFormat/>
    <w:pPr/>
    <w:rPr/>
  </w:style>
  <w:style w:type="paragraph" w:styleId="Header">
    <w:name w:val="Header"/>
    <w:basedOn w:val="Normal"/>
    <w:uiPriority w:val="99"/>
    <w:unhideWhenUsed/>
    <w:rsid w:val="007b770b"/>
    <w:pPr>
      <w:tabs>
        <w:tab w:val="clear" w:pos="720"/>
        <w:tab w:val="center" w:pos="4153" w:leader="none"/>
        <w:tab w:val="right" w:pos="8306" w:leader="none"/>
      </w:tabs>
      <w:spacing w:lineRule="auto" w:line="240" w:before="0" w:after="0"/>
    </w:pPr>
    <w:rPr/>
  </w:style>
  <w:style w:type="paragraph" w:styleId="Footer">
    <w:name w:val="Footer"/>
    <w:basedOn w:val="Normal"/>
    <w:link w:val="Char1"/>
    <w:uiPriority w:val="99"/>
    <w:unhideWhenUsed/>
    <w:rsid w:val="007b770b"/>
    <w:pPr>
      <w:tabs>
        <w:tab w:val="clear" w:pos="720"/>
        <w:tab w:val="center" w:pos="4153" w:leader="none"/>
        <w:tab w:val="right" w:pos="8306" w:leader="none"/>
      </w:tabs>
      <w:spacing w:lineRule="auto" w:line="240" w:before="0" w:after="0"/>
    </w:pPr>
    <w:rPr/>
  </w:style>
  <w:style w:type="paragraph" w:styleId="21" w:customStyle="1">
    <w:name w:val="Σώμα κειμένου21"/>
    <w:basedOn w:val="Normal"/>
    <w:link w:val="Style12"/>
    <w:qFormat/>
    <w:rsid w:val="007b770b"/>
    <w:pPr>
      <w:widowControl w:val="false"/>
      <w:shd w:val="clear" w:color="auto" w:fill="FFFFFF"/>
      <w:spacing w:lineRule="exact" w:line="252" w:before="0" w:after="0"/>
      <w:jc w:val="right"/>
    </w:pPr>
    <w:rPr>
      <w:rFonts w:ascii="Arial" w:hAnsi="Arial" w:eastAsia="Arial" w:cs="Arial"/>
      <w:sz w:val="21"/>
      <w:szCs w:val="21"/>
    </w:rPr>
  </w:style>
  <w:style w:type="paragraph" w:styleId="PlainText">
    <w:name w:val="Plain Text"/>
    <w:basedOn w:val="Normal"/>
    <w:link w:val="Char2"/>
    <w:uiPriority w:val="99"/>
    <w:unhideWhenUsed/>
    <w:qFormat/>
    <w:rsid w:val="007b770b"/>
    <w:pPr>
      <w:spacing w:lineRule="auto" w:line="240" w:before="0" w:after="0"/>
    </w:pPr>
    <w:rPr>
      <w:rFonts w:ascii="Consolas" w:hAnsi="Consolas" w:eastAsia="Times New Roman" w:cs="Times New Roman"/>
      <w:sz w:val="21"/>
      <w:szCs w:val="21"/>
      <w:lang w:eastAsia="el-GR"/>
    </w:rPr>
  </w:style>
  <w:style w:type="paragraph" w:styleId="BalloonText">
    <w:name w:val="Balloon Text"/>
    <w:basedOn w:val="Normal"/>
    <w:link w:val="Char11"/>
    <w:uiPriority w:val="99"/>
    <w:semiHidden/>
    <w:unhideWhenUsed/>
    <w:qFormat/>
    <w:rsid w:val="007b770b"/>
    <w:pPr>
      <w:spacing w:lineRule="auto" w:line="240" w:before="0" w:after="0"/>
    </w:pPr>
    <w:rPr>
      <w:rFonts w:ascii="Tahoma" w:hAnsi="Tahoma" w:cs="Tahoma"/>
      <w:sz w:val="16"/>
      <w:szCs w:val="16"/>
    </w:rPr>
  </w:style>
  <w:style w:type="paragraph" w:styleId="normalwithoutspacing" w:customStyle="1">
    <w:name w:val="normal_without_spacing"/>
    <w:basedOn w:val="Normal"/>
    <w:qFormat/>
    <w:rsid w:val="007a0e2c"/>
    <w:pPr>
      <w:spacing w:lineRule="auto" w:line="240" w:before="0" w:after="60"/>
      <w:jc w:val="both"/>
    </w:pPr>
    <w:rPr>
      <w:rFonts w:ascii="Calibri" w:hAnsi="Calibri" w:eastAsia="Times New Roman" w:cs="Calibri"/>
      <w:szCs w:val="24"/>
      <w:lang w:eastAsia="zh-CN"/>
    </w:rPr>
  </w:style>
  <w:style w:type="paragraph" w:styleId="11" w:customStyle="1">
    <w:name w:val="Παράγραφος λίστας1"/>
    <w:basedOn w:val="Normal"/>
    <w:qFormat/>
    <w:rsid w:val="00af15ef"/>
    <w:pPr>
      <w:spacing w:lineRule="auto" w:line="240" w:before="0" w:after="0"/>
      <w:ind w:left="720"/>
    </w:pPr>
    <w:rPr>
      <w:rFonts w:ascii="Liberation Serif" w:hAnsi="Liberation Serif" w:eastAsia="NSimSun" w:cs="Arial"/>
      <w:kern w:val="2"/>
      <w:sz w:val="24"/>
      <w:szCs w:val="24"/>
      <w:lang w:eastAsia="zh-CN" w:bidi="hi-IN"/>
    </w:rPr>
  </w:style>
  <w:style w:type="paragraph" w:styleId="Style19" w:customStyle="1">
    <w:name w:val="Περιεχόμενα πίνακα"/>
    <w:basedOn w:val="Normal"/>
    <w:qFormat/>
    <w:pPr>
      <w:widowControl w:val="false"/>
      <w:suppressLineNumbers/>
    </w:pPr>
    <w:rPr/>
  </w:style>
  <w:style w:type="paragraph" w:styleId="Style20" w:customStyle="1">
    <w:name w:val="Επικεφαλίδα πίνακα"/>
    <w:basedOn w:val="Style19"/>
    <w:qFormat/>
    <w:pPr>
      <w:jc w:val="center"/>
    </w:pPr>
    <w:rPr>
      <w:b/>
      <w:bCs/>
    </w:rPr>
  </w:style>
  <w:style w:type="paragraph" w:styleId="Standard" w:customStyle="1">
    <w:name w:val="Standard"/>
    <w:qFormat/>
    <w:pPr>
      <w:widowControl w:val="false"/>
      <w:suppressAutoHyphens w:val="true"/>
      <w:bidi w:val="0"/>
      <w:spacing w:before="0" w:after="0"/>
      <w:jc w:val="left"/>
      <w:textAlignment w:val="baseline"/>
    </w:pPr>
    <w:rPr>
      <w:rFonts w:ascii="Liberation Serif;Times New Roma" w:hAnsi="Liberation Serif;Times New Roma" w:eastAsia="Segoe UI" w:cs="Tahoma"/>
      <w:color w:val="000000"/>
      <w:kern w:val="2"/>
      <w:sz w:val="24"/>
      <w:szCs w:val="24"/>
      <w:lang w:val="el-GR" w:eastAsia="zh-CN" w:bidi="hi-IN"/>
    </w:rPr>
  </w:style>
  <w:style w:type="paragraph" w:styleId="NoSpacing">
    <w:name w:val="No Spacing"/>
    <w:uiPriority w:val="1"/>
    <w:qFormat/>
    <w:rsid w:val="00681d44"/>
    <w:pPr>
      <w:widowControl/>
      <w:suppressAutoHyphens w:val="false"/>
      <w:bidi w:val="0"/>
      <w:spacing w:before="0" w:after="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paragraph" w:styleId="22" w:customStyle="1">
    <w:name w:val="Παράγραφος λίστας2"/>
    <w:basedOn w:val="Normal"/>
    <w:qFormat/>
    <w:rsid w:val="00585dcb"/>
    <w:pPr>
      <w:spacing w:lineRule="auto" w:line="240" w:before="0" w:after="0"/>
      <w:ind w:left="720"/>
      <w:contextualSpacing/>
    </w:pPr>
    <w:rPr>
      <w:rFonts w:ascii="Liberation Serif" w:hAnsi="Liberation Serif" w:eastAsia="NSimSun" w:cs="Arial"/>
      <w:kern w:val="2"/>
      <w:sz w:val="24"/>
      <w:szCs w:val="24"/>
      <w:lang w:eastAsia="zh-CN" w:bidi="hi-IN"/>
    </w:rPr>
  </w:style>
  <w:style w:type="paragraph" w:styleId="Style21">
    <w:name w:val="Περιεχόμενα πλαισίου"/>
    <w:basedOn w:val="Normal"/>
    <w:qFormat/>
    <w:pPr/>
    <w:rPr/>
  </w:style>
  <w:style w:type="numbering" w:styleId="Style22" w:default="1">
    <w:name w:val="Χωρίς κατάλογο"/>
    <w:uiPriority w:val="99"/>
    <w:semiHidden/>
    <w:unhideWhenUsed/>
    <w:qFormat/>
  </w:style>
  <w:style w:type="numbering" w:styleId="WW8Num3" w:customStyle="1">
    <w:name w:val="WW8Num3"/>
    <w:qFormat/>
  </w:style>
  <w:style w:type="numbering" w:styleId="WW8Num1" w:customStyle="1">
    <w:name w:val="WW8Num1"/>
    <w:qFormat/>
  </w:style>
  <w:style w:type="numbering" w:styleId="WW8Num2" w:customStyle="1">
    <w:name w:val="WW8Num2"/>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6">
    <w:name w:val="Table Grid"/>
    <w:basedOn w:val="a1"/>
    <w:uiPriority w:val="59"/>
    <w:rsid w:val="007b770b"/>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mailto:tsamourtzis@hospser.gr"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Θέμα του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D77AF-6820-4AC2-9BE3-FF757774B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Application>LibreOffice/24.2.5.2$Windows_X86_64 LibreOffice_project/bffef4ea93e59bebbeaf7f431bb02b1a39ee8a59</Application>
  <AppVersion>15.0000</AppVersion>
  <Pages>17</Pages>
  <Words>5374</Words>
  <Characters>32672</Characters>
  <CharactersWithSpaces>38886</CharactersWithSpaces>
  <Paragraphs>264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2023-05-12T10:04:00Z</dcterms:created>
  <dc:creator>Adam</dc:creator>
  <dc:description/>
  <dc:language>el-GR</dc:language>
  <cp:lastModifiedBy/>
  <cp:lastPrinted>2024-11-29T14:25:26Z</cp:lastPrinted>
  <dcterms:modified xsi:type="dcterms:W3CDTF">2024-11-29T14:36:13Z</dcterms:modified>
  <cp:revision>88</cp:revision>
  <dc:subject/>
  <dc:title/>
</cp:coreProperties>
</file>

<file path=docProps/custom.xml><?xml version="1.0" encoding="utf-8"?>
<Properties xmlns="http://schemas.openxmlformats.org/officeDocument/2006/custom-properties" xmlns:vt="http://schemas.openxmlformats.org/officeDocument/2006/docPropsVTypes"/>
</file>